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7A98F" w14:textId="6283833F" w:rsidR="00B150C6" w:rsidRPr="00B150C6" w:rsidRDefault="00B150C6" w:rsidP="00B150C6">
      <w:pPr>
        <w:rPr>
          <w:b/>
          <w:bCs/>
          <w:color w:val="FFFFFF" w:themeColor="background1"/>
          <w:sz w:val="52"/>
          <w:szCs w:val="52"/>
          <w:lang w:val="fr-FR"/>
        </w:rPr>
      </w:pPr>
      <w:r>
        <w:rPr>
          <w:b/>
          <w:bCs/>
          <w:noProof/>
          <w:lang w:val="en-US"/>
        </w:rPr>
        <w:drawing>
          <wp:anchor distT="0" distB="0" distL="114300" distR="114300" simplePos="0" relativeHeight="251659264" behindDoc="1" locked="0" layoutInCell="1" allowOverlap="1" wp14:anchorId="3B41B564" wp14:editId="78531832">
            <wp:simplePos x="0" y="0"/>
            <wp:positionH relativeFrom="page">
              <wp:posOffset>2846</wp:posOffset>
            </wp:positionH>
            <wp:positionV relativeFrom="paragraph">
              <wp:posOffset>-897890</wp:posOffset>
            </wp:positionV>
            <wp:extent cx="7558500" cy="1797269"/>
            <wp:effectExtent l="0" t="0" r="4445" b="0"/>
            <wp:wrapNone/>
            <wp:docPr id="513275574"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pict w14:anchorId="5AA191BD">
          <v:rect id="Rectangle 63" o:spid="_x0000_s1027" style="position:absolute;margin-left:40.55pt;margin-top:35.3pt;width:46.2pt;height:3.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" fillcolor="#ffd966 [1943]" stroked="f" strokeweight="1pt">
            <v:shadow on="t" color="black" opacity="26214f" origin="-.5,-.5" offset=".74836mm,.74836mm"/>
          </v:rect>
        </w:pict>
      </w:r>
      <w:r w:rsidRPr="00B150C6">
        <w:rPr>
          <w:b/>
          <w:bCs/>
          <w:color w:val="FFFFFF" w:themeColor="background1"/>
          <w:sz w:val="52"/>
          <w:szCs w:val="52"/>
          <w:lang w:val="fr-FR"/>
        </w:rPr>
        <w:t xml:space="preserve">SUMMARY SHEETS : ARTICLE 7 ECHFR </w:t>
      </w:r>
    </w:p>
    <w:p w14:paraId="6DA0C6F0" w14:textId="522043C1" w:rsidR="00B150C6" w:rsidRPr="000C338A" w:rsidRDefault="00B150C6" w:rsidP="00B150C6">
      <w:pPr>
        <w:rPr>
          <w:rFonts w:eastAsiaTheme="majorEastAsia"/>
          <w:spacing w:val="-10"/>
          <w:kern w:val="28"/>
          <w:sz w:val="56"/>
          <w:szCs w:val="56"/>
        </w:rPr>
      </w:pPr>
    </w:p>
    <w:p w14:paraId="67BA1CDD" w14:textId="3AD429C4" w:rsidR="00613D5F" w:rsidRDefault="00B150C6" w:rsidP="00B150C6">
      <w:pPr>
        <w:pBdr>
          <w:top w:val="nil"/>
          <w:left w:val="nil"/>
          <w:bottom w:val="nil"/>
          <w:right w:val="nil"/>
          <w:between w:val="nil"/>
        </w:pBdr>
        <w:tabs>
          <w:tab w:val="left" w:pos="349"/>
        </w:tabs>
        <w:rPr>
          <w:b/>
          <w:color w:val="000000"/>
        </w:rPr>
      </w:pPr>
      <w:r>
        <w:rPr>
          <w:noProof/>
        </w:rPr>
        <w:pict w14:anchorId="7D8D5CA9">
          <v:roundrect id="Zone de texte 2" o:spid="_x0000_s1026" style="position:absolute;margin-left:-10.05pt;margin-top:27.5pt;width:423.75pt;height:89.3pt;z-index:251660288;visibility:visible;mso-wrap-style:square;mso-width-percent:0;mso-height-percent:200;mso-wrap-distance-left:9pt;mso-wrap-distance-top:3.6pt;mso-wrap-distance-right:9pt;mso-wrap-distance-bottom:3.6pt;mso-position-horizontal-relative:margin;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" fillcolor="#d9e2f3 [660]" strokecolor="#d9e2f3 [660]">
            <v:stroke joinstyle="miter"/>
            <v:textbox style="mso-fit-shape-to-text:t">
              <w:txbxContent>
                <w:p w14:paraId="63A2C593" w14:textId="60BB754B" w:rsidR="00B150C6" w:rsidRPr="007F7B31" w:rsidRDefault="009C65C5" w:rsidP="00B150C6">
                  <w:pPr>
                    <w:rPr>
                      <w:rFonts w:asciiTheme="majorHAnsi" w:hAnsiTheme="majorHAnsi" w:cstheme="majorHAnsi"/>
                      <w:b/>
                      <w:i/>
                    </w:rPr>
                  </w:pPr>
                  <w:r>
                    <w:rPr>
                      <w:b/>
                      <w:i/>
                    </w:rPr>
                    <w:t>„</w:t>
                  </w:r>
                  <w:r w:rsidR="00B150C6" w:rsidRPr="007F7B31">
                    <w:rPr>
                      <w:rFonts w:asciiTheme="majorHAnsi" w:hAnsiTheme="majorHAnsi" w:cstheme="majorHAnsi"/>
                      <w:b/>
                      <w:i/>
                    </w:rPr>
                    <w:t>Respe</w:t>
                  </w:r>
                  <w:r>
                    <w:rPr>
                      <w:rFonts w:asciiTheme="majorHAnsi" w:hAnsiTheme="majorHAnsi" w:cstheme="majorHAnsi"/>
                      <w:b/>
                      <w:i/>
                    </w:rPr>
                    <w:t>ktování soukromého a rodinného života</w:t>
                  </w:r>
                </w:p>
                <w:p w14:paraId="768293EB" w14:textId="77777777" w:rsidR="00B150C6" w:rsidRPr="007F7B31" w:rsidRDefault="00B150C6" w:rsidP="00B150C6">
                  <w:pPr>
                    <w:jc w:val="both"/>
                    <w:rPr>
                      <w:rFonts w:asciiTheme="majorHAnsi" w:hAnsiTheme="majorHAnsi" w:cstheme="majorHAnsi"/>
                    </w:rPr>
                  </w:pPr>
                </w:p>
                <w:p w14:paraId="0A719C1B" w14:textId="52D513E7" w:rsidR="00B150C6" w:rsidRDefault="009C65C5" w:rsidP="00B150C6">
                  <w:pPr>
                    <w:rPr>
                      <w:rFonts w:asciiTheme="majorHAnsi" w:hAnsiTheme="majorHAnsi" w:cstheme="majorHAnsi"/>
                      <w:i/>
                    </w:rPr>
                  </w:pPr>
                  <w:r>
                    <w:rPr>
                      <w:rFonts w:asciiTheme="majorHAnsi" w:hAnsiTheme="majorHAnsi" w:cstheme="majorHAnsi"/>
                      <w:i/>
                    </w:rPr>
                    <w:t>Každý má právo na respektování svého soukromého a rodinného života, obydlí a komunikace</w:t>
                  </w:r>
                  <w:r w:rsidR="00B150C6" w:rsidRPr="007F7B31">
                    <w:rPr>
                      <w:rFonts w:asciiTheme="majorHAnsi" w:hAnsiTheme="majorHAnsi" w:cstheme="majorHAnsi"/>
                      <w:i/>
                    </w:rPr>
                    <w:t>.</w:t>
                  </w:r>
                  <w:r>
                    <w:rPr>
                      <w:rFonts w:asciiTheme="majorHAnsi" w:hAnsiTheme="majorHAnsi" w:cstheme="majorHAnsi"/>
                      <w:i/>
                    </w:rPr>
                    <w:t>“</w:t>
                  </w:r>
                </w:p>
                <w:p w14:paraId="437E637E" w14:textId="77777777" w:rsidR="00B150C6" w:rsidRPr="00B61D3E" w:rsidRDefault="00B150C6" w:rsidP="00B150C6">
                  <w:pPr>
                    <w:rPr>
                      <w:rFonts w:asciiTheme="majorHAnsi" w:hAnsiTheme="majorHAnsi" w:cstheme="majorHAnsi"/>
                      <w:i/>
                    </w:rPr>
                  </w:pPr>
                </w:p>
              </w:txbxContent>
            </v:textbox>
            <w10:wrap type="square" anchorx="margin"/>
          </v:roundrect>
        </w:pict>
      </w:r>
    </w:p>
    <w:p w14:paraId="338414A9" w14:textId="77777777" w:rsidR="00B150C6" w:rsidRDefault="00B150C6">
      <w:pPr>
        <w:pBdr>
          <w:top w:val="nil"/>
          <w:left w:val="nil"/>
          <w:bottom w:val="nil"/>
          <w:right w:val="nil"/>
          <w:between w:val="nil"/>
        </w:pBdr>
        <w:jc w:val="right"/>
        <w:rPr>
          <w:b/>
          <w:color w:val="000000"/>
        </w:rPr>
      </w:pPr>
    </w:p>
    <w:p w14:paraId="6DC2C6F0" w14:textId="77777777" w:rsidR="00B150C6" w:rsidRDefault="00B150C6">
      <w:pPr>
        <w:pBdr>
          <w:top w:val="nil"/>
          <w:left w:val="nil"/>
          <w:bottom w:val="nil"/>
          <w:right w:val="nil"/>
          <w:between w:val="nil"/>
        </w:pBdr>
        <w:jc w:val="right"/>
        <w:rPr>
          <w:b/>
          <w:color w:val="000000"/>
        </w:rPr>
      </w:pPr>
    </w:p>
    <w:tbl>
      <w:tblPr>
        <w:tblStyle w:val="a"/>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4"/>
      </w:tblGrid>
      <w:tr w:rsidR="00613D5F" w14:paraId="0E4EEB34" w14:textId="77777777">
        <w:tc>
          <w:tcPr>
            <w:tcW w:w="8494" w:type="dxa"/>
          </w:tcPr>
          <w:p w14:paraId="4C59062E" w14:textId="77777777" w:rsidR="00613D5F" w:rsidRDefault="005D7D7E">
            <w:pPr>
              <w:rPr>
                <w:b/>
              </w:rPr>
            </w:pPr>
            <w:r>
              <w:rPr>
                <w:b/>
              </w:rPr>
              <w:t>Obsah</w:t>
            </w:r>
            <w:r w:rsidR="006E55AD">
              <w:rPr>
                <w:b/>
              </w:rPr>
              <w:t xml:space="preserve"> a </w:t>
            </w:r>
            <w:r>
              <w:rPr>
                <w:b/>
              </w:rPr>
              <w:t xml:space="preserve">působnost článku </w:t>
            </w:r>
          </w:p>
        </w:tc>
      </w:tr>
      <w:tr w:rsidR="00613D5F" w14:paraId="3D144224" w14:textId="77777777">
        <w:tc>
          <w:tcPr>
            <w:tcW w:w="8494" w:type="dxa"/>
          </w:tcPr>
          <w:p w14:paraId="0FC9CB3A" w14:textId="77777777" w:rsidR="00613D5F" w:rsidRDefault="00613D5F" w:rsidP="0093557D">
            <w:pPr>
              <w:rPr>
                <w:i/>
              </w:rPr>
            </w:pPr>
          </w:p>
          <w:p w14:paraId="4B862F3C" w14:textId="77777777" w:rsidR="00613D5F" w:rsidRDefault="005D7D7E">
            <w:pPr>
              <w:jc w:val="both"/>
            </w:pPr>
            <w:r>
              <w:t>Přes svou stručnou formulaci obsahuje článek 7 několik práv, která výrazně přispívají ke stále se rozrůstající judikatuře SDEU.</w:t>
            </w:r>
          </w:p>
          <w:p w14:paraId="75CEEF5A" w14:textId="77777777" w:rsidR="00613D5F" w:rsidRDefault="00613D5F">
            <w:pPr>
              <w:jc w:val="both"/>
              <w:rPr>
                <w:b/>
                <w:i/>
              </w:rPr>
            </w:pPr>
          </w:p>
          <w:p w14:paraId="1EC158BE" w14:textId="77777777" w:rsidR="00613D5F" w:rsidRDefault="005D7D7E">
            <w:pPr>
              <w:jc w:val="both"/>
            </w:pPr>
            <w:r>
              <w:t>Jak bylo již na počátku zdůrazněno, článek 7 neposkytuje ochranu jednomu, ale rovnou čtyřem právům zaručeným všem lidem bez rozlišování,</w:t>
            </w:r>
            <w:r w:rsidR="006E55AD">
              <w:t xml:space="preserve"> a </w:t>
            </w:r>
            <w:r>
              <w:t>v některých případech jsou článkem 7 chráněny</w:t>
            </w:r>
            <w:r w:rsidR="006E55AD">
              <w:t xml:space="preserve"> i </w:t>
            </w:r>
            <w:r>
              <w:t>právnické osoby.</w:t>
            </w:r>
          </w:p>
          <w:p w14:paraId="7A762D0A" w14:textId="77777777" w:rsidR="00613D5F" w:rsidRDefault="00613D5F">
            <w:pPr>
              <w:jc w:val="both"/>
            </w:pPr>
          </w:p>
          <w:p w14:paraId="22AAC56E" w14:textId="77777777" w:rsidR="00613D5F" w:rsidRDefault="005D7D7E">
            <w:pPr>
              <w:jc w:val="both"/>
              <w:rPr>
                <w:b/>
              </w:rPr>
            </w:pPr>
            <w:r>
              <w:t xml:space="preserve">Tato práva zahrnují 1) ochranu </w:t>
            </w:r>
            <w:r>
              <w:rPr>
                <w:b/>
              </w:rPr>
              <w:t>rodinného života</w:t>
            </w:r>
            <w:r>
              <w:t xml:space="preserve">, 2) ochranu </w:t>
            </w:r>
            <w:r>
              <w:rPr>
                <w:b/>
              </w:rPr>
              <w:t>soukromého života</w:t>
            </w:r>
            <w:r>
              <w:t xml:space="preserve">, 3) ochranu </w:t>
            </w:r>
            <w:r>
              <w:rPr>
                <w:b/>
              </w:rPr>
              <w:t>obydlí</w:t>
            </w:r>
            <w:r>
              <w:t xml:space="preserve">, 4) ochranu </w:t>
            </w:r>
            <w:r>
              <w:rPr>
                <w:b/>
              </w:rPr>
              <w:t>komunikace.</w:t>
            </w:r>
          </w:p>
          <w:p w14:paraId="0C64DCEA" w14:textId="77777777" w:rsidR="00613D5F" w:rsidRDefault="00613D5F">
            <w:pPr>
              <w:jc w:val="both"/>
            </w:pPr>
          </w:p>
          <w:p w14:paraId="147BA938" w14:textId="77777777" w:rsidR="00613D5F" w:rsidRDefault="005D7D7E">
            <w:pPr>
              <w:jc w:val="both"/>
            </w:pPr>
            <w:r>
              <w:t>Článek 7 Listiny je proto právem složeným</w:t>
            </w:r>
            <w:r w:rsidR="006E55AD">
              <w:t xml:space="preserve"> z </w:t>
            </w:r>
            <w:r>
              <w:t>více prvků: navíc koresponduje</w:t>
            </w:r>
            <w:r w:rsidR="006E55AD">
              <w:t xml:space="preserve"> s </w:t>
            </w:r>
            <w:r>
              <w:t>článkem 8 Evropské úmluvy</w:t>
            </w:r>
            <w:r w:rsidR="006E55AD">
              <w:t xml:space="preserve"> o </w:t>
            </w:r>
            <w:r>
              <w:t>lidských právech (EÚLP)</w:t>
            </w:r>
            <w:r w:rsidR="006E55AD">
              <w:t xml:space="preserve"> a </w:t>
            </w:r>
            <w:r>
              <w:t>reflektuje jej</w:t>
            </w:r>
            <w:r w:rsidR="006E55AD">
              <w:t xml:space="preserve"> a </w:t>
            </w:r>
            <w:r>
              <w:t xml:space="preserve">na základě </w:t>
            </w:r>
            <w:r w:rsidR="006E55AD">
              <w:t>čl. </w:t>
            </w:r>
            <w:r>
              <w:t>52 odst. 3 Listiny podléhá stejným omezením, která mohou být na tato práva uvalena.</w:t>
            </w:r>
          </w:p>
          <w:p w14:paraId="67178343" w14:textId="77777777" w:rsidR="00613D5F" w:rsidRDefault="00613D5F">
            <w:pPr>
              <w:jc w:val="both"/>
            </w:pPr>
          </w:p>
          <w:p w14:paraId="0C138AD8" w14:textId="77777777" w:rsidR="00613D5F" w:rsidRDefault="005D7D7E">
            <w:pPr>
              <w:jc w:val="both"/>
            </w:pPr>
            <w:r>
              <w:t>Význam práv chráněných článkem 7 Listiny</w:t>
            </w:r>
            <w:r w:rsidR="006E55AD">
              <w:t xml:space="preserve"> a </w:t>
            </w:r>
            <w:r>
              <w:t>samotným článkem 8 Listiny lze, stejně jako</w:t>
            </w:r>
            <w:r w:rsidR="006E55AD">
              <w:t xml:space="preserve"> u </w:t>
            </w:r>
            <w:r>
              <w:t>článku 8 EÚLP, spatřovat</w:t>
            </w:r>
            <w:r w:rsidR="006E55AD">
              <w:t xml:space="preserve"> v </w:t>
            </w:r>
            <w:r>
              <w:t>mnoha oblastech unijního práva. Jinými slovy, použitelnost článku 7 je velmi široká, což dokazuje judikatura SDEU. Pro advokáty se jedná</w:t>
            </w:r>
            <w:r w:rsidR="006E55AD">
              <w:t xml:space="preserve"> o </w:t>
            </w:r>
            <w:r>
              <w:t>významnou příležitost, díky níž mohou ustanovení aplikovat</w:t>
            </w:r>
            <w:r w:rsidR="006E55AD">
              <w:t xml:space="preserve"> v </w:t>
            </w:r>
            <w:r>
              <w:t>mnoha právních oblastech.</w:t>
            </w:r>
          </w:p>
          <w:p w14:paraId="64C22A5A" w14:textId="77777777" w:rsidR="00613D5F" w:rsidRDefault="00613D5F">
            <w:pPr>
              <w:jc w:val="both"/>
            </w:pPr>
          </w:p>
          <w:p w14:paraId="07DFAD25" w14:textId="77777777" w:rsidR="00613D5F" w:rsidRDefault="005D7D7E">
            <w:pPr>
              <w:jc w:val="both"/>
            </w:pPr>
            <w:r>
              <w:t>Článek 7 Listiny bude stejně relevantní</w:t>
            </w:r>
            <w:r w:rsidR="006E55AD">
              <w:t xml:space="preserve"> v </w:t>
            </w:r>
            <w:r>
              <w:t>oblasti azylu jako</w:t>
            </w:r>
            <w:r w:rsidR="006E55AD">
              <w:t xml:space="preserve"> v </w:t>
            </w:r>
            <w:r>
              <w:t>případě ochrany osobních údajů, otázek rovného zacházení (genderové rovnosti), mateřských práv, sociálního zabezpečení, volného pohybu osob (z pohledu přistěhovalectví), občanství EU nebo</w:t>
            </w:r>
            <w:r w:rsidR="006E55AD">
              <w:t xml:space="preserve"> v </w:t>
            </w:r>
            <w:r>
              <w:t>oblastech unijního práva týkajících se dětí</w:t>
            </w:r>
            <w:r w:rsidR="006E55AD">
              <w:t xml:space="preserve"> a </w:t>
            </w:r>
            <w:r>
              <w:t>ochrany jejich nejlepšího zájmu.</w:t>
            </w:r>
          </w:p>
          <w:p w14:paraId="2B020DE1" w14:textId="77777777" w:rsidR="00613D5F" w:rsidRDefault="00613D5F">
            <w:pPr>
              <w:jc w:val="both"/>
            </w:pPr>
          </w:p>
          <w:p w14:paraId="08DB3560" w14:textId="77777777" w:rsidR="00613D5F" w:rsidRDefault="005D7D7E">
            <w:pPr>
              <w:jc w:val="both"/>
            </w:pPr>
            <w:r>
              <w:t>V jádru každého</w:t>
            </w:r>
            <w:r w:rsidR="006E55AD">
              <w:t xml:space="preserve"> z </w:t>
            </w:r>
            <w:r>
              <w:t>těchto práv je chráněný pojem</w:t>
            </w:r>
            <w:r w:rsidR="006E55AD">
              <w:t xml:space="preserve"> a </w:t>
            </w:r>
            <w:r>
              <w:t>jeho výklad, tj. odpověď na otázku, co je to „rodinný život“? Co je to „soukromý život“ ve smyslu článku 7 Listiny</w:t>
            </w:r>
            <w:r w:rsidR="006E55AD">
              <w:t xml:space="preserve"> a </w:t>
            </w:r>
            <w:r>
              <w:t>jaké jeho sféry jsou chráněny? Co je „obydlí“ ve smyslu Listiny</w:t>
            </w:r>
            <w:r w:rsidR="006E55AD">
              <w:t xml:space="preserve"> a </w:t>
            </w:r>
            <w:r>
              <w:t>jaká ochrana se na něj vztahuje</w:t>
            </w:r>
            <w:r w:rsidR="006E55AD">
              <w:t xml:space="preserve"> v </w:t>
            </w:r>
            <w:r>
              <w:t>konkrétních případech? Následně je pak nutné se</w:t>
            </w:r>
            <w:r w:rsidR="006E55AD">
              <w:t xml:space="preserve"> v </w:t>
            </w:r>
            <w:r>
              <w:t>rámci každého práva ve smyslu článku 7 ptát, kdo je jeho adresátem.</w:t>
            </w:r>
          </w:p>
          <w:p w14:paraId="5C9B6609" w14:textId="77777777" w:rsidR="00613D5F" w:rsidRDefault="005D7D7E">
            <w:pPr>
              <w:jc w:val="both"/>
            </w:pPr>
            <w:r>
              <w:lastRenderedPageBreak/>
              <w:t>Dané pojmy jsou svou povahou abstraktní</w:t>
            </w:r>
            <w:r w:rsidR="006E55AD">
              <w:t xml:space="preserve"> a </w:t>
            </w:r>
            <w:r>
              <w:t>podléhají výkladu, přičemž judikatura SDEU se ve vztahu</w:t>
            </w:r>
            <w:r w:rsidR="006E55AD">
              <w:t xml:space="preserve"> k </w:t>
            </w:r>
            <w:r>
              <w:t>jejich obsahu</w:t>
            </w:r>
            <w:r w:rsidR="006E55AD">
              <w:t xml:space="preserve"> a </w:t>
            </w:r>
            <w:r>
              <w:t>významu stále vyvíjí. Pojďme se teď zaměřit na jednu oblast unijního práva, která významně dopadá na jedno</w:t>
            </w:r>
            <w:r w:rsidR="006E55AD">
              <w:t xml:space="preserve"> z </w:t>
            </w:r>
            <w:r>
              <w:t>práv uvedených</w:t>
            </w:r>
            <w:r w:rsidR="006E55AD">
              <w:t xml:space="preserve"> v </w:t>
            </w:r>
            <w:r>
              <w:t xml:space="preserve">článku 7 Listiny: právo na rodinný život. </w:t>
            </w:r>
          </w:p>
          <w:p w14:paraId="50A65005" w14:textId="77777777" w:rsidR="00613D5F" w:rsidRDefault="00613D5F">
            <w:pPr>
              <w:jc w:val="both"/>
            </w:pPr>
          </w:p>
          <w:p w14:paraId="1758A71C" w14:textId="77777777" w:rsidR="00613D5F" w:rsidRDefault="005D7D7E">
            <w:pPr>
              <w:jc w:val="both"/>
            </w:pPr>
            <w:r>
              <w:t>Výběr alespoň jednoho</w:t>
            </w:r>
            <w:r w:rsidR="006E55AD">
              <w:t xml:space="preserve"> z </w:t>
            </w:r>
            <w:r>
              <w:t>těchto práv je výsledkem spíše praktického pojetí: významná část judikatury se týká všech práv zakotvených</w:t>
            </w:r>
            <w:r w:rsidR="006E55AD">
              <w:t xml:space="preserve"> v </w:t>
            </w:r>
            <w:r>
              <w:t>článku 7 Listiny, na což navazuje rozsáhlé množství sekundárních právních předpisů týkajících se každého</w:t>
            </w:r>
            <w:r w:rsidR="006E55AD">
              <w:t xml:space="preserve"> z </w:t>
            </w:r>
            <w:r>
              <w:t>práv vyjmenovaných</w:t>
            </w:r>
            <w:r w:rsidR="006E55AD">
              <w:t xml:space="preserve"> v </w:t>
            </w:r>
            <w:r>
              <w:t xml:space="preserve">článku 7.  </w:t>
            </w:r>
          </w:p>
          <w:p w14:paraId="3F0FA81A" w14:textId="77777777" w:rsidR="00613D5F" w:rsidRDefault="00613D5F">
            <w:pPr>
              <w:rPr>
                <w:i/>
              </w:rPr>
            </w:pPr>
          </w:p>
          <w:p w14:paraId="56B0B97F" w14:textId="77777777" w:rsidR="00613D5F" w:rsidRDefault="005D7D7E">
            <w:pPr>
              <w:jc w:val="both"/>
            </w:pPr>
            <w:r>
              <w:t>Právo na rodinný život je zaručeno každé osobě bez ohledu na její státní příslušnost</w:t>
            </w:r>
            <w:r w:rsidR="006E55AD">
              <w:t xml:space="preserve"> a </w:t>
            </w:r>
            <w:r>
              <w:t xml:space="preserve">může vyplynout ve všech oblastech unijního práva, které se fakticky dotýkají pojmu rodiny. </w:t>
            </w:r>
          </w:p>
          <w:p w14:paraId="54C924FD" w14:textId="77777777" w:rsidR="00613D5F" w:rsidRDefault="00613D5F">
            <w:pPr>
              <w:jc w:val="both"/>
            </w:pPr>
          </w:p>
          <w:p w14:paraId="439CCE4F" w14:textId="77777777" w:rsidR="00613D5F" w:rsidRDefault="005D7D7E">
            <w:pPr>
              <w:jc w:val="both"/>
            </w:pPr>
            <w:r>
              <w:t>Jednou</w:t>
            </w:r>
            <w:r w:rsidR="006E55AD">
              <w:t xml:space="preserve"> z </w:t>
            </w:r>
            <w:r>
              <w:t>těchto oblastí je např. oblast přistěhovalectví,</w:t>
            </w:r>
            <w:r w:rsidR="006E55AD">
              <w:t xml:space="preserve"> v </w:t>
            </w:r>
            <w:r>
              <w:t xml:space="preserve">níž vyvíjí Evropská unie společnou přistěhovaleckou politiku, </w:t>
            </w:r>
            <w:proofErr w:type="gramStart"/>
            <w:r>
              <w:t>jež</w:t>
            </w:r>
            <w:proofErr w:type="gramEnd"/>
            <w:r>
              <w:t xml:space="preserve"> má zahrnout (mimo jiné, ale nikoli výlučně) přijetí společných pravidel vstupu</w:t>
            </w:r>
            <w:r w:rsidR="006E55AD">
              <w:t xml:space="preserve"> a </w:t>
            </w:r>
            <w:r>
              <w:t xml:space="preserve">pobytu občanů zemí mimo EU na území členských států Evropské unie (viz </w:t>
            </w:r>
            <w:r w:rsidR="006E55AD">
              <w:t>čl. </w:t>
            </w:r>
            <w:r>
              <w:t>79 SFEU).</w:t>
            </w:r>
          </w:p>
          <w:p w14:paraId="71A382B7" w14:textId="77777777" w:rsidR="00613D5F" w:rsidRDefault="00613D5F">
            <w:pPr>
              <w:jc w:val="both"/>
            </w:pPr>
          </w:p>
          <w:p w14:paraId="28DA9467" w14:textId="77777777" w:rsidR="00613D5F" w:rsidRDefault="005D7D7E">
            <w:pPr>
              <w:jc w:val="both"/>
            </w:pPr>
            <w:r>
              <w:t>To se týká také opatření</w:t>
            </w:r>
            <w:r w:rsidR="006E55AD">
              <w:t xml:space="preserve"> v </w:t>
            </w:r>
            <w:r>
              <w:t>oblasti individuální imigrace související se slučováním rodin. Evropská legislativa umožňuje sloučení rodiny jednak prostřednictvím směrnice 2003/86/ES</w:t>
            </w:r>
            <w:r w:rsidR="006E55AD">
              <w:t xml:space="preserve"> u </w:t>
            </w:r>
            <w:r>
              <w:t>vybraných kategorií příslušníků třetích zemí definovaných právem EU (cizinci, kteří nemají občanství EU,</w:t>
            </w:r>
            <w:r w:rsidR="006E55AD">
              <w:t xml:space="preserve"> a </w:t>
            </w:r>
            <w:r>
              <w:t>tedy ani občanství žádného členského státu), jednak prostřednictvím směrnice 2004/38/ES</w:t>
            </w:r>
            <w:r w:rsidR="006E55AD">
              <w:t xml:space="preserve"> u </w:t>
            </w:r>
            <w:r>
              <w:t>tzv. unijních rodinných příslušníků občanů EU, tj. osob, které odvozují své právo pobytu od občanů EU.</w:t>
            </w:r>
          </w:p>
          <w:p w14:paraId="647BF8E0" w14:textId="77777777" w:rsidR="00613D5F" w:rsidRDefault="00613D5F">
            <w:pPr>
              <w:jc w:val="both"/>
            </w:pPr>
          </w:p>
          <w:p w14:paraId="030791D4" w14:textId="77777777" w:rsidR="00613D5F" w:rsidRDefault="005D7D7E">
            <w:pPr>
              <w:jc w:val="both"/>
            </w:pPr>
            <w:r>
              <w:t>Obě směrnice stanoví řadu podmínek, za nichž může být sloučení rodiny povoleno,</w:t>
            </w:r>
            <w:r w:rsidR="006E55AD">
              <w:t xml:space="preserve"> i </w:t>
            </w:r>
            <w:r>
              <w:t>individuální omezení, pro něž nebude cizinci pobyt na území členského státu EU umožněn,</w:t>
            </w:r>
            <w:r w:rsidR="006E55AD">
              <w:t xml:space="preserve"> a </w:t>
            </w:r>
            <w:r>
              <w:t>kdy tedy nebude moci vykonat své právo na rodinný život (z důvodů, jako je ochrana veřejného pořádku nebo nesplnění formálních podmínek žádosti</w:t>
            </w:r>
            <w:r w:rsidR="006E55AD">
              <w:t xml:space="preserve"> o </w:t>
            </w:r>
            <w:r>
              <w:t>sloučení rodiny).</w:t>
            </w:r>
          </w:p>
          <w:p w14:paraId="54722D6F" w14:textId="77777777" w:rsidR="00613D5F" w:rsidRDefault="00613D5F">
            <w:pPr>
              <w:jc w:val="both"/>
            </w:pPr>
          </w:p>
          <w:p w14:paraId="3B45D6BD" w14:textId="77777777" w:rsidR="00613D5F" w:rsidRDefault="005D7D7E">
            <w:pPr>
              <w:jc w:val="both"/>
            </w:pPr>
            <w:r>
              <w:t>V tomto bodě je však důležité konstatovat, že obsah konkrétního práva chráněného Listinou není určován formou sekundárních právních předpisů EU. Právě naopak, veškerá kritéria</w:t>
            </w:r>
            <w:r w:rsidR="006E55AD">
              <w:t xml:space="preserve"> a </w:t>
            </w:r>
            <w:r>
              <w:t>omezení práva na respektování rodinného života</w:t>
            </w:r>
            <w:r w:rsidR="006E55AD">
              <w:t xml:space="preserve"> v </w:t>
            </w:r>
            <w:r>
              <w:t xml:space="preserve">sekundárním právu EU musí být </w:t>
            </w:r>
            <w:proofErr w:type="gramStart"/>
            <w:r>
              <w:t>zejména</w:t>
            </w:r>
            <w:proofErr w:type="gramEnd"/>
            <w:r w:rsidR="006E55AD">
              <w:t xml:space="preserve"> a </w:t>
            </w:r>
            <w:r>
              <w:t>především</w:t>
            </w:r>
            <w:r w:rsidR="006E55AD">
              <w:t xml:space="preserve"> v </w:t>
            </w:r>
            <w:r>
              <w:t>souladu</w:t>
            </w:r>
            <w:r w:rsidR="006E55AD">
              <w:t xml:space="preserve"> s </w:t>
            </w:r>
            <w:r>
              <w:t xml:space="preserve">ustanovením článku 7 Listiny. </w:t>
            </w:r>
          </w:p>
          <w:p w14:paraId="014BF239" w14:textId="77777777" w:rsidR="00613D5F" w:rsidRDefault="00613D5F">
            <w:pPr>
              <w:jc w:val="both"/>
            </w:pPr>
          </w:p>
          <w:p w14:paraId="599814DA" w14:textId="77777777" w:rsidR="00613D5F" w:rsidRDefault="005D7D7E">
            <w:pPr>
              <w:jc w:val="both"/>
            </w:pPr>
            <w:r>
              <w:t>Soudní dvůr ještě před přijetím Lisabonské smlouvy dospěl ve věci Evropský parlament v. Rada Evropské unie (C-540/03)</w:t>
            </w:r>
            <w:r w:rsidR="006E55AD">
              <w:t xml:space="preserve"> k </w:t>
            </w:r>
            <w:r>
              <w:t>závěru, že obsah směrnice 2003/86/ES musí být vykládán ve světle základních práv (zde článku 8 Listiny)</w:t>
            </w:r>
            <w:r w:rsidR="006E55AD">
              <w:t xml:space="preserve"> a </w:t>
            </w:r>
            <w:r>
              <w:t>rovněž musí být</w:t>
            </w:r>
            <w:r w:rsidR="006E55AD">
              <w:t xml:space="preserve"> v </w:t>
            </w:r>
            <w:r>
              <w:t>souladu</w:t>
            </w:r>
            <w:r w:rsidR="006E55AD">
              <w:t xml:space="preserve"> s </w:t>
            </w:r>
            <w:r>
              <w:t>koncepcí nejlepších zájmů dítěte.</w:t>
            </w:r>
          </w:p>
          <w:p w14:paraId="3A64C61D" w14:textId="77777777" w:rsidR="00613D5F" w:rsidRDefault="00613D5F">
            <w:pPr>
              <w:jc w:val="both"/>
            </w:pPr>
          </w:p>
          <w:p w14:paraId="47112073" w14:textId="4E90D266" w:rsidR="00613D5F" w:rsidRDefault="005D7D7E">
            <w:pPr>
              <w:jc w:val="both"/>
            </w:pPr>
            <w:r>
              <w:t>Právo na rodinný život dle Listiny jde samozřejmě dalece nad rámec jakékoli jednotlivé oblasti unijního práva. Zároveň pak ve stále se měnící společnosti vznáší nové otázky, jež redefinují koncepce, které již předmětem výkladu byly.</w:t>
            </w:r>
          </w:p>
          <w:p w14:paraId="31A3DC8F" w14:textId="77777777" w:rsidR="00613D5F" w:rsidRDefault="00613D5F">
            <w:pPr>
              <w:jc w:val="both"/>
            </w:pPr>
          </w:p>
          <w:p w14:paraId="7716B46A" w14:textId="77777777" w:rsidR="003E4E70" w:rsidRDefault="003E4E70">
            <w:pPr>
              <w:jc w:val="both"/>
            </w:pPr>
          </w:p>
        </w:tc>
      </w:tr>
      <w:tr w:rsidR="00613D5F" w14:paraId="4BFCF42F" w14:textId="77777777">
        <w:tc>
          <w:tcPr>
            <w:tcW w:w="8494" w:type="dxa"/>
          </w:tcPr>
          <w:p w14:paraId="4D3A2DD4" w14:textId="77777777" w:rsidR="00613D5F" w:rsidRDefault="005D7D7E">
            <w:r>
              <w:rPr>
                <w:b/>
              </w:rPr>
              <w:lastRenderedPageBreak/>
              <w:t>Judikatura SDEU</w:t>
            </w:r>
          </w:p>
        </w:tc>
      </w:tr>
      <w:tr w:rsidR="00613D5F" w14:paraId="602323BB" w14:textId="77777777">
        <w:tc>
          <w:tcPr>
            <w:tcW w:w="8494" w:type="dxa"/>
          </w:tcPr>
          <w:p w14:paraId="42308491" w14:textId="77777777" w:rsidR="00613D5F" w:rsidRDefault="00613D5F">
            <w:pPr>
              <w:rPr>
                <w:i/>
                <w:color w:val="000000"/>
              </w:rPr>
            </w:pPr>
          </w:p>
          <w:p w14:paraId="5A5A922E" w14:textId="77777777" w:rsidR="00613D5F" w:rsidRDefault="005D7D7E">
            <w:pPr>
              <w:jc w:val="both"/>
              <w:rPr>
                <w:b/>
                <w:color w:val="000000"/>
              </w:rPr>
            </w:pPr>
            <w:r>
              <w:rPr>
                <w:b/>
                <w:color w:val="000000"/>
              </w:rPr>
              <w:t xml:space="preserve">Rozsudek Soudního dvora ve věcech </w:t>
            </w:r>
            <w:r>
              <w:rPr>
                <w:b/>
              </w:rPr>
              <w:t>C-356/11</w:t>
            </w:r>
            <w:r w:rsidR="006E55AD">
              <w:rPr>
                <w:b/>
              </w:rPr>
              <w:t xml:space="preserve"> a </w:t>
            </w:r>
            <w:r>
              <w:rPr>
                <w:b/>
              </w:rPr>
              <w:t>C-357/11</w:t>
            </w:r>
            <w:r>
              <w:t xml:space="preserve"> </w:t>
            </w:r>
            <w:r w:rsidRPr="005D7D7E">
              <w:rPr>
                <w:b/>
                <w:color w:val="000000"/>
              </w:rPr>
              <w:t>(</w:t>
            </w:r>
            <w:r w:rsidRPr="005D7D7E">
              <w:rPr>
                <w:b/>
                <w:i/>
                <w:color w:val="000000"/>
              </w:rPr>
              <w:t>O.</w:t>
            </w:r>
            <w:r w:rsidR="006E55AD">
              <w:rPr>
                <w:b/>
                <w:i/>
                <w:color w:val="000000"/>
              </w:rPr>
              <w:t xml:space="preserve"> </w:t>
            </w:r>
            <w:r w:rsidR="006E55AD" w:rsidRPr="005D7D7E">
              <w:rPr>
                <w:b/>
                <w:i/>
                <w:color w:val="000000"/>
              </w:rPr>
              <w:t>a</w:t>
            </w:r>
            <w:r w:rsidR="006E55AD">
              <w:rPr>
                <w:b/>
                <w:i/>
                <w:color w:val="000000"/>
              </w:rPr>
              <w:t> </w:t>
            </w:r>
            <w:r w:rsidRPr="005D7D7E">
              <w:rPr>
                <w:b/>
                <w:i/>
                <w:color w:val="000000"/>
              </w:rPr>
              <w:t xml:space="preserve">S. v. </w:t>
            </w:r>
            <w:proofErr w:type="spellStart"/>
            <w:r w:rsidRPr="005D7D7E">
              <w:rPr>
                <w:b/>
                <w:i/>
                <w:color w:val="000000"/>
              </w:rPr>
              <w:t>Maahanmuuttovirasto</w:t>
            </w:r>
            <w:proofErr w:type="spellEnd"/>
            <w:r w:rsidR="006E55AD">
              <w:rPr>
                <w:b/>
                <w:i/>
                <w:color w:val="000000"/>
              </w:rPr>
              <w:t xml:space="preserve"> </w:t>
            </w:r>
            <w:r w:rsidR="006E55AD" w:rsidRPr="005D7D7E">
              <w:rPr>
                <w:b/>
                <w:i/>
                <w:color w:val="000000"/>
              </w:rPr>
              <w:t>a</w:t>
            </w:r>
            <w:r w:rsidR="006E55AD">
              <w:rPr>
                <w:b/>
                <w:i/>
                <w:color w:val="000000"/>
              </w:rPr>
              <w:t> </w:t>
            </w:r>
            <w:proofErr w:type="spellStart"/>
            <w:r w:rsidRPr="005D7D7E">
              <w:rPr>
                <w:b/>
                <w:i/>
                <w:color w:val="000000"/>
              </w:rPr>
              <w:t>Maahanmuttovirasto</w:t>
            </w:r>
            <w:proofErr w:type="spellEnd"/>
            <w:r w:rsidRPr="005D7D7E">
              <w:rPr>
                <w:b/>
                <w:i/>
                <w:color w:val="000000"/>
              </w:rPr>
              <w:t xml:space="preserve"> v. L., </w:t>
            </w:r>
            <w:r w:rsidRPr="005D7D7E">
              <w:rPr>
                <w:b/>
                <w:i/>
                <w:iCs/>
                <w:color w:val="000000"/>
              </w:rPr>
              <w:t>6. prosince 2012</w:t>
            </w:r>
            <w:r w:rsidRPr="005D7D7E">
              <w:rPr>
                <w:b/>
                <w:color w:val="000000"/>
              </w:rPr>
              <w:t>),</w:t>
            </w:r>
            <w:r>
              <w:rPr>
                <w:color w:val="000000"/>
              </w:rPr>
              <w:t xml:space="preserve"> </w:t>
            </w:r>
            <w:r>
              <w:rPr>
                <w:b/>
                <w:bCs/>
                <w:color w:val="000000"/>
              </w:rPr>
              <w:t>žádost</w:t>
            </w:r>
            <w:r w:rsidR="006E55AD">
              <w:rPr>
                <w:b/>
                <w:bCs/>
                <w:color w:val="000000"/>
              </w:rPr>
              <w:t xml:space="preserve"> o </w:t>
            </w:r>
            <w:r>
              <w:rPr>
                <w:b/>
                <w:bCs/>
                <w:color w:val="000000"/>
              </w:rPr>
              <w:t>rozhodnutí</w:t>
            </w:r>
            <w:r w:rsidR="006E55AD">
              <w:rPr>
                <w:b/>
                <w:bCs/>
                <w:color w:val="000000"/>
              </w:rPr>
              <w:t xml:space="preserve"> o </w:t>
            </w:r>
            <w:r>
              <w:rPr>
                <w:b/>
                <w:bCs/>
                <w:color w:val="000000"/>
              </w:rPr>
              <w:t>předběžné otázce podaná</w:t>
            </w:r>
            <w:r>
              <w:rPr>
                <w:color w:val="000000"/>
              </w:rPr>
              <w:t xml:space="preserve"> </w:t>
            </w:r>
            <w:proofErr w:type="spellStart"/>
            <w:r>
              <w:rPr>
                <w:b/>
                <w:color w:val="000000"/>
              </w:rPr>
              <w:t>Korkein</w:t>
            </w:r>
            <w:proofErr w:type="spellEnd"/>
            <w:r>
              <w:rPr>
                <w:b/>
                <w:color w:val="000000"/>
              </w:rPr>
              <w:t xml:space="preserve"> </w:t>
            </w:r>
            <w:proofErr w:type="spellStart"/>
            <w:r>
              <w:rPr>
                <w:b/>
                <w:color w:val="000000"/>
              </w:rPr>
              <w:t>hallinto-oikeus</w:t>
            </w:r>
            <w:proofErr w:type="spellEnd"/>
            <w:r>
              <w:rPr>
                <w:b/>
                <w:color w:val="000000"/>
              </w:rPr>
              <w:t xml:space="preserve"> (Finsko)</w:t>
            </w:r>
          </w:p>
          <w:p w14:paraId="5FA6D0F1" w14:textId="77777777" w:rsidR="005D7D7E" w:rsidRDefault="005D7D7E">
            <w:pPr>
              <w:jc w:val="both"/>
              <w:rPr>
                <w:b/>
                <w:color w:val="000000"/>
              </w:rPr>
            </w:pPr>
          </w:p>
          <w:p w14:paraId="1DAA8C6A" w14:textId="77777777" w:rsidR="00613D5F" w:rsidRPr="00CA4D09" w:rsidRDefault="005D7D7E">
            <w:pPr>
              <w:rPr>
                <w:i/>
                <w:color w:val="000000"/>
              </w:rPr>
            </w:pPr>
            <w:r w:rsidRPr="00CA4D09">
              <w:rPr>
                <w:i/>
                <w:color w:val="000000"/>
              </w:rPr>
              <w:t xml:space="preserve">Klíčové </w:t>
            </w:r>
            <w:r w:rsidR="00CA4D09" w:rsidRPr="00CA4D09">
              <w:rPr>
                <w:i/>
                <w:color w:val="000000"/>
              </w:rPr>
              <w:t>pojmy</w:t>
            </w:r>
            <w:r w:rsidRPr="00CA4D09">
              <w:rPr>
                <w:i/>
                <w:color w:val="000000"/>
              </w:rPr>
              <w:t>: nejlepší zájem dítěte</w:t>
            </w:r>
            <w:r w:rsidR="00CA4D09">
              <w:rPr>
                <w:i/>
                <w:color w:val="000000"/>
              </w:rPr>
              <w:t xml:space="preserve"> –</w:t>
            </w:r>
            <w:r w:rsidRPr="00CA4D09">
              <w:rPr>
                <w:i/>
                <w:color w:val="000000"/>
              </w:rPr>
              <w:t xml:space="preserve"> závislá osoba</w:t>
            </w:r>
            <w:r w:rsidR="00CA4D09">
              <w:rPr>
                <w:i/>
                <w:color w:val="000000"/>
              </w:rPr>
              <w:t xml:space="preserve"> – </w:t>
            </w:r>
            <w:r w:rsidRPr="00CA4D09">
              <w:rPr>
                <w:i/>
                <w:color w:val="000000"/>
              </w:rPr>
              <w:t>právo na příslušnost</w:t>
            </w:r>
            <w:r w:rsidR="006E55AD" w:rsidRPr="00CA4D09">
              <w:rPr>
                <w:i/>
                <w:color w:val="000000"/>
              </w:rPr>
              <w:t xml:space="preserve"> k</w:t>
            </w:r>
            <w:r w:rsidR="00CA4D09">
              <w:rPr>
                <w:i/>
                <w:color w:val="000000"/>
              </w:rPr>
              <w:t> </w:t>
            </w:r>
            <w:r w:rsidRPr="00CA4D09">
              <w:rPr>
                <w:i/>
                <w:color w:val="000000"/>
              </w:rPr>
              <w:t>rodině</w:t>
            </w:r>
            <w:r w:rsidR="00CA4D09">
              <w:rPr>
                <w:i/>
                <w:color w:val="000000"/>
              </w:rPr>
              <w:t xml:space="preserve"> –</w:t>
            </w:r>
            <w:r w:rsidRPr="00CA4D09">
              <w:rPr>
                <w:i/>
                <w:color w:val="000000"/>
              </w:rPr>
              <w:t xml:space="preserve"> právo na respektování rodinného života</w:t>
            </w:r>
            <w:r w:rsidR="00CA4D09">
              <w:rPr>
                <w:i/>
                <w:color w:val="000000"/>
              </w:rPr>
              <w:t xml:space="preserve"> –</w:t>
            </w:r>
            <w:r w:rsidRPr="00CA4D09">
              <w:rPr>
                <w:i/>
                <w:color w:val="000000"/>
              </w:rPr>
              <w:t xml:space="preserve"> sloučení rodiny</w:t>
            </w:r>
          </w:p>
          <w:p w14:paraId="32D97056" w14:textId="77777777" w:rsidR="00613D5F" w:rsidRDefault="00613D5F">
            <w:pPr>
              <w:rPr>
                <w:color w:val="000000"/>
              </w:rPr>
            </w:pPr>
          </w:p>
          <w:p w14:paraId="5AB76510" w14:textId="77777777" w:rsidR="005D7D7E" w:rsidRDefault="005D7D7E">
            <w:pPr>
              <w:rPr>
                <w:color w:val="000000"/>
              </w:rPr>
            </w:pPr>
          </w:p>
          <w:p w14:paraId="48ACFE23" w14:textId="77777777" w:rsidR="00613D5F" w:rsidRDefault="005D7D7E">
            <w:pPr>
              <w:rPr>
                <w:b/>
                <w:color w:val="000000"/>
              </w:rPr>
            </w:pPr>
            <w:r>
              <w:rPr>
                <w:b/>
                <w:color w:val="000000"/>
              </w:rPr>
              <w:t xml:space="preserve">Rozsudek Soudního dvora ve věci C-560/20 </w:t>
            </w:r>
            <w:r w:rsidRPr="005D7D7E">
              <w:rPr>
                <w:b/>
                <w:color w:val="000000"/>
              </w:rPr>
              <w:t>(</w:t>
            </w:r>
            <w:r w:rsidRPr="005D7D7E">
              <w:rPr>
                <w:b/>
                <w:i/>
                <w:color w:val="000000"/>
              </w:rPr>
              <w:t xml:space="preserve">CR, GF, TY v. </w:t>
            </w:r>
            <w:proofErr w:type="spellStart"/>
            <w:r w:rsidRPr="005D7D7E">
              <w:rPr>
                <w:b/>
                <w:i/>
                <w:color w:val="000000"/>
              </w:rPr>
              <w:t>Landeshauptmann</w:t>
            </w:r>
            <w:proofErr w:type="spellEnd"/>
            <w:r w:rsidRPr="005D7D7E">
              <w:rPr>
                <w:b/>
                <w:i/>
                <w:color w:val="000000"/>
              </w:rPr>
              <w:t xml:space="preserve"> von </w:t>
            </w:r>
            <w:proofErr w:type="spellStart"/>
            <w:r w:rsidRPr="005D7D7E">
              <w:rPr>
                <w:b/>
                <w:i/>
                <w:color w:val="000000"/>
              </w:rPr>
              <w:t>Wien</w:t>
            </w:r>
            <w:proofErr w:type="spellEnd"/>
            <w:r w:rsidRPr="005D7D7E">
              <w:rPr>
                <w:b/>
                <w:color w:val="000000"/>
              </w:rPr>
              <w:t xml:space="preserve">, 30. ledna 2024), </w:t>
            </w:r>
            <w:r w:rsidRPr="005D7D7E">
              <w:rPr>
                <w:b/>
                <w:bCs/>
                <w:color w:val="000000"/>
              </w:rPr>
              <w:t>žádost</w:t>
            </w:r>
            <w:r w:rsidR="006E55AD">
              <w:rPr>
                <w:b/>
                <w:bCs/>
                <w:color w:val="000000"/>
              </w:rPr>
              <w:t xml:space="preserve"> </w:t>
            </w:r>
            <w:r w:rsidR="006E55AD" w:rsidRPr="005D7D7E">
              <w:rPr>
                <w:b/>
                <w:bCs/>
                <w:color w:val="000000"/>
              </w:rPr>
              <w:t>o</w:t>
            </w:r>
            <w:r w:rsidR="006E55AD">
              <w:rPr>
                <w:b/>
                <w:bCs/>
                <w:color w:val="000000"/>
              </w:rPr>
              <w:t> </w:t>
            </w:r>
            <w:r w:rsidRPr="005D7D7E">
              <w:rPr>
                <w:b/>
                <w:bCs/>
                <w:color w:val="000000"/>
              </w:rPr>
              <w:t>rozhodnutí</w:t>
            </w:r>
            <w:r w:rsidR="006E55AD">
              <w:rPr>
                <w:b/>
                <w:bCs/>
                <w:color w:val="000000"/>
              </w:rPr>
              <w:t xml:space="preserve"> </w:t>
            </w:r>
            <w:r w:rsidR="006E55AD" w:rsidRPr="005D7D7E">
              <w:rPr>
                <w:b/>
                <w:bCs/>
                <w:color w:val="000000"/>
              </w:rPr>
              <w:t>o</w:t>
            </w:r>
            <w:r w:rsidR="006E55AD">
              <w:rPr>
                <w:b/>
                <w:bCs/>
                <w:color w:val="000000"/>
              </w:rPr>
              <w:t> </w:t>
            </w:r>
            <w:r>
              <w:rPr>
                <w:b/>
                <w:bCs/>
                <w:color w:val="000000"/>
              </w:rPr>
              <w:t>předběžné otázce podaná</w:t>
            </w:r>
            <w:r>
              <w:rPr>
                <w:color w:val="000000"/>
              </w:rPr>
              <w:t xml:space="preserve"> </w:t>
            </w:r>
            <w:proofErr w:type="spellStart"/>
            <w:r>
              <w:rPr>
                <w:b/>
                <w:color w:val="000000"/>
              </w:rPr>
              <w:t>Verwaltungsgericht</w:t>
            </w:r>
            <w:proofErr w:type="spellEnd"/>
            <w:r>
              <w:rPr>
                <w:b/>
                <w:color w:val="000000"/>
              </w:rPr>
              <w:t xml:space="preserve"> </w:t>
            </w:r>
            <w:proofErr w:type="spellStart"/>
            <w:r>
              <w:rPr>
                <w:b/>
                <w:color w:val="000000"/>
              </w:rPr>
              <w:t>Wien</w:t>
            </w:r>
            <w:proofErr w:type="spellEnd"/>
            <w:r>
              <w:rPr>
                <w:b/>
                <w:color w:val="000000"/>
              </w:rPr>
              <w:t xml:space="preserve"> (Správní soud ve Vídni, Rakousko)</w:t>
            </w:r>
          </w:p>
          <w:p w14:paraId="2F9E7110" w14:textId="77777777" w:rsidR="005D7D7E" w:rsidRDefault="005D7D7E">
            <w:pPr>
              <w:rPr>
                <w:color w:val="000000"/>
              </w:rPr>
            </w:pPr>
          </w:p>
          <w:p w14:paraId="6C643F50" w14:textId="77777777" w:rsidR="00613D5F" w:rsidRPr="00CA4D09" w:rsidRDefault="005D7D7E">
            <w:pPr>
              <w:rPr>
                <w:i/>
                <w:color w:val="000000"/>
              </w:rPr>
            </w:pPr>
            <w:r w:rsidRPr="00CA4D09">
              <w:rPr>
                <w:i/>
                <w:color w:val="000000"/>
              </w:rPr>
              <w:t xml:space="preserve">Klíčové </w:t>
            </w:r>
            <w:r w:rsidR="00CA4D09" w:rsidRPr="00CA4D09">
              <w:rPr>
                <w:i/>
                <w:color w:val="000000"/>
              </w:rPr>
              <w:t>pojmy</w:t>
            </w:r>
            <w:r w:rsidRPr="00CA4D09">
              <w:rPr>
                <w:i/>
                <w:color w:val="000000"/>
              </w:rPr>
              <w:t>: sloučení rodiny nezletilého uprchlíka bez doprovodu</w:t>
            </w:r>
            <w:r w:rsidR="006E55AD" w:rsidRPr="00CA4D09">
              <w:rPr>
                <w:i/>
                <w:color w:val="000000"/>
              </w:rPr>
              <w:t xml:space="preserve"> s </w:t>
            </w:r>
            <w:r w:rsidRPr="00CA4D09">
              <w:rPr>
                <w:i/>
                <w:color w:val="000000"/>
              </w:rPr>
              <w:t>nejbližšími příbuznými</w:t>
            </w:r>
            <w:r w:rsidR="006E55AD" w:rsidRPr="00CA4D09">
              <w:rPr>
                <w:i/>
                <w:color w:val="000000"/>
              </w:rPr>
              <w:t xml:space="preserve"> v </w:t>
            </w:r>
            <w:r w:rsidRPr="00CA4D09">
              <w:rPr>
                <w:i/>
                <w:color w:val="000000"/>
              </w:rPr>
              <w:t>přímé vzestupné linii</w:t>
            </w:r>
            <w:r w:rsidR="00CA4D09" w:rsidRPr="00CA4D09">
              <w:rPr>
                <w:i/>
                <w:color w:val="000000"/>
              </w:rPr>
              <w:t xml:space="preserve"> –</w:t>
            </w:r>
            <w:r w:rsidRPr="00CA4D09">
              <w:rPr>
                <w:i/>
                <w:color w:val="000000"/>
              </w:rPr>
              <w:t xml:space="preserve"> nezletilá osoba bez doprovodu</w:t>
            </w:r>
            <w:r w:rsidR="00CA4D09" w:rsidRPr="00CA4D09">
              <w:rPr>
                <w:i/>
                <w:color w:val="000000"/>
              </w:rPr>
              <w:t xml:space="preserve"> –</w:t>
            </w:r>
            <w:r w:rsidRPr="00CA4D09">
              <w:rPr>
                <w:i/>
                <w:color w:val="000000"/>
              </w:rPr>
              <w:t xml:space="preserve"> účinek práva na sloučení rodiny nezletilého uprchlíka bez doprovodu</w:t>
            </w:r>
            <w:r w:rsidR="00CA4D09" w:rsidRPr="00CA4D09">
              <w:rPr>
                <w:i/>
                <w:color w:val="000000"/>
              </w:rPr>
              <w:t xml:space="preserve"> – </w:t>
            </w:r>
            <w:r w:rsidRPr="00CA4D09">
              <w:rPr>
                <w:i/>
                <w:color w:val="000000"/>
              </w:rPr>
              <w:t>sloučení rodiny</w:t>
            </w:r>
          </w:p>
          <w:p w14:paraId="5CDDCB5C" w14:textId="77777777" w:rsidR="00613D5F" w:rsidRDefault="00613D5F">
            <w:pPr>
              <w:rPr>
                <w:color w:val="000000"/>
              </w:rPr>
            </w:pPr>
          </w:p>
          <w:p w14:paraId="43CF6675" w14:textId="77777777" w:rsidR="005D7D7E" w:rsidRDefault="005D7D7E">
            <w:pPr>
              <w:rPr>
                <w:color w:val="000000"/>
              </w:rPr>
            </w:pPr>
          </w:p>
          <w:p w14:paraId="069A6EC6" w14:textId="77777777" w:rsidR="00613D5F" w:rsidRDefault="005D7D7E">
            <w:pPr>
              <w:rPr>
                <w:b/>
                <w:color w:val="000000"/>
              </w:rPr>
            </w:pPr>
            <w:r w:rsidRPr="005D7D7E">
              <w:rPr>
                <w:b/>
                <w:color w:val="000000"/>
              </w:rPr>
              <w:t>Rozsudek Soudního dvora ve věci C-400/10 PPU (</w:t>
            </w:r>
            <w:r w:rsidRPr="005D7D7E">
              <w:rPr>
                <w:b/>
                <w:i/>
                <w:color w:val="000000"/>
              </w:rPr>
              <w:t xml:space="preserve">J. </w:t>
            </w:r>
            <w:proofErr w:type="spellStart"/>
            <w:r w:rsidRPr="005D7D7E">
              <w:rPr>
                <w:b/>
                <w:i/>
                <w:color w:val="000000"/>
              </w:rPr>
              <w:t>McB</w:t>
            </w:r>
            <w:proofErr w:type="spellEnd"/>
            <w:r w:rsidRPr="005D7D7E">
              <w:rPr>
                <w:b/>
                <w:i/>
                <w:color w:val="000000"/>
              </w:rPr>
              <w:t>. v. L. E.</w:t>
            </w:r>
            <w:r w:rsidRPr="005D7D7E">
              <w:rPr>
                <w:b/>
                <w:color w:val="000000"/>
              </w:rPr>
              <w:t xml:space="preserve">, 5. října 2010), </w:t>
            </w:r>
            <w:r>
              <w:rPr>
                <w:b/>
                <w:bCs/>
                <w:color w:val="000000"/>
              </w:rPr>
              <w:t>žádost</w:t>
            </w:r>
            <w:r w:rsidR="006E55AD">
              <w:rPr>
                <w:b/>
                <w:bCs/>
                <w:color w:val="000000"/>
              </w:rPr>
              <w:t xml:space="preserve"> o </w:t>
            </w:r>
            <w:r>
              <w:rPr>
                <w:b/>
                <w:bCs/>
                <w:color w:val="000000"/>
              </w:rPr>
              <w:t>rozhodnutí</w:t>
            </w:r>
            <w:r w:rsidR="006E55AD">
              <w:rPr>
                <w:b/>
                <w:bCs/>
                <w:color w:val="000000"/>
              </w:rPr>
              <w:t xml:space="preserve"> o </w:t>
            </w:r>
            <w:r>
              <w:rPr>
                <w:b/>
                <w:bCs/>
                <w:color w:val="000000"/>
              </w:rPr>
              <w:t>předběžné otázce podaná</w:t>
            </w:r>
            <w:r>
              <w:rPr>
                <w:color w:val="000000"/>
              </w:rPr>
              <w:t xml:space="preserve"> </w:t>
            </w:r>
            <w:proofErr w:type="spellStart"/>
            <w:r>
              <w:rPr>
                <w:b/>
                <w:color w:val="000000"/>
              </w:rPr>
              <w:t>Supreme</w:t>
            </w:r>
            <w:proofErr w:type="spellEnd"/>
            <w:r>
              <w:rPr>
                <w:b/>
                <w:color w:val="000000"/>
              </w:rPr>
              <w:t xml:space="preserve"> </w:t>
            </w:r>
            <w:proofErr w:type="spellStart"/>
            <w:r>
              <w:rPr>
                <w:b/>
                <w:color w:val="000000"/>
              </w:rPr>
              <w:t>Court</w:t>
            </w:r>
            <w:proofErr w:type="spellEnd"/>
            <w:r>
              <w:rPr>
                <w:b/>
                <w:color w:val="000000"/>
              </w:rPr>
              <w:t xml:space="preserve"> (Irsko)</w:t>
            </w:r>
          </w:p>
          <w:p w14:paraId="6D98545B" w14:textId="77777777" w:rsidR="005D7D7E" w:rsidRDefault="005D7D7E">
            <w:pPr>
              <w:rPr>
                <w:color w:val="000000"/>
              </w:rPr>
            </w:pPr>
          </w:p>
          <w:p w14:paraId="07E90A44" w14:textId="77777777" w:rsidR="00613D5F" w:rsidRPr="00CA4D09" w:rsidRDefault="005D7D7E">
            <w:pPr>
              <w:rPr>
                <w:i/>
                <w:color w:val="000000"/>
              </w:rPr>
            </w:pPr>
            <w:r w:rsidRPr="00CA4D09">
              <w:rPr>
                <w:i/>
                <w:color w:val="000000"/>
              </w:rPr>
              <w:t xml:space="preserve">Klíčové </w:t>
            </w:r>
            <w:r w:rsidR="00CA4D09" w:rsidRPr="00CA4D09">
              <w:rPr>
                <w:i/>
                <w:color w:val="000000"/>
              </w:rPr>
              <w:t>pojmy</w:t>
            </w:r>
            <w:r w:rsidRPr="00CA4D09">
              <w:rPr>
                <w:i/>
                <w:color w:val="000000"/>
              </w:rPr>
              <w:t>: rodičovská odpovědnost</w:t>
            </w:r>
            <w:r w:rsidR="00CA4D09" w:rsidRPr="00CA4D09">
              <w:rPr>
                <w:i/>
                <w:color w:val="000000"/>
              </w:rPr>
              <w:t xml:space="preserve"> –</w:t>
            </w:r>
            <w:r w:rsidRPr="00CA4D09">
              <w:rPr>
                <w:i/>
                <w:color w:val="000000"/>
              </w:rPr>
              <w:t xml:space="preserve"> dítě nesezdaných rodičů</w:t>
            </w:r>
            <w:r w:rsidR="00CA4D09" w:rsidRPr="00CA4D09">
              <w:rPr>
                <w:i/>
                <w:color w:val="000000"/>
              </w:rPr>
              <w:t xml:space="preserve"> –</w:t>
            </w:r>
            <w:r w:rsidRPr="00CA4D09">
              <w:rPr>
                <w:i/>
                <w:color w:val="000000"/>
              </w:rPr>
              <w:t xml:space="preserve"> právo otce na péči</w:t>
            </w:r>
            <w:r w:rsidR="00CA4D09" w:rsidRPr="00CA4D09">
              <w:rPr>
                <w:i/>
                <w:color w:val="000000"/>
              </w:rPr>
              <w:t xml:space="preserve"> –</w:t>
            </w:r>
            <w:r w:rsidRPr="00CA4D09">
              <w:rPr>
                <w:i/>
                <w:color w:val="000000"/>
              </w:rPr>
              <w:t xml:space="preserve"> vynucení návratu dítěte</w:t>
            </w:r>
          </w:p>
          <w:p w14:paraId="123B9910" w14:textId="77777777" w:rsidR="00613D5F" w:rsidRDefault="00613D5F">
            <w:pPr>
              <w:rPr>
                <w:color w:val="000000"/>
              </w:rPr>
            </w:pPr>
          </w:p>
          <w:p w14:paraId="136BC3CC" w14:textId="77777777" w:rsidR="005D7D7E" w:rsidRDefault="005D7D7E">
            <w:pPr>
              <w:rPr>
                <w:color w:val="000000"/>
              </w:rPr>
            </w:pPr>
          </w:p>
          <w:p w14:paraId="28431971" w14:textId="77777777" w:rsidR="00613D5F" w:rsidRDefault="005D7D7E">
            <w:pPr>
              <w:rPr>
                <w:b/>
                <w:color w:val="000000"/>
              </w:rPr>
            </w:pPr>
            <w:r w:rsidRPr="005D7D7E">
              <w:rPr>
                <w:b/>
                <w:color w:val="000000"/>
              </w:rPr>
              <w:t>Rozsudek Soudního dvora ve věci C-131/12 (</w:t>
            </w:r>
            <w:r w:rsidRPr="005D7D7E">
              <w:rPr>
                <w:b/>
                <w:i/>
                <w:color w:val="000000"/>
              </w:rPr>
              <w:t xml:space="preserve">Google </w:t>
            </w:r>
            <w:proofErr w:type="spellStart"/>
            <w:r w:rsidRPr="005D7D7E">
              <w:rPr>
                <w:b/>
                <w:i/>
                <w:color w:val="000000"/>
              </w:rPr>
              <w:t>Spain</w:t>
            </w:r>
            <w:proofErr w:type="spellEnd"/>
            <w:r w:rsidRPr="005D7D7E">
              <w:rPr>
                <w:b/>
                <w:i/>
                <w:color w:val="000000"/>
              </w:rPr>
              <w:t xml:space="preserve"> SL, Google Inc. v. </w:t>
            </w:r>
            <w:proofErr w:type="spellStart"/>
            <w:r w:rsidRPr="005D7D7E">
              <w:rPr>
                <w:b/>
                <w:i/>
                <w:color w:val="000000"/>
              </w:rPr>
              <w:t>Agencia</w:t>
            </w:r>
            <w:proofErr w:type="spellEnd"/>
            <w:r w:rsidRPr="005D7D7E">
              <w:rPr>
                <w:b/>
                <w:i/>
                <w:color w:val="000000"/>
              </w:rPr>
              <w:t xml:space="preserve"> </w:t>
            </w:r>
            <w:proofErr w:type="spellStart"/>
            <w:r w:rsidRPr="005D7D7E">
              <w:rPr>
                <w:b/>
                <w:i/>
                <w:color w:val="000000"/>
              </w:rPr>
              <w:t>Española</w:t>
            </w:r>
            <w:proofErr w:type="spellEnd"/>
            <w:r w:rsidRPr="005D7D7E">
              <w:rPr>
                <w:b/>
                <w:i/>
                <w:color w:val="000000"/>
              </w:rPr>
              <w:t xml:space="preserve"> de </w:t>
            </w:r>
            <w:proofErr w:type="spellStart"/>
            <w:r w:rsidRPr="005D7D7E">
              <w:rPr>
                <w:b/>
                <w:i/>
                <w:color w:val="000000"/>
              </w:rPr>
              <w:t>Protección</w:t>
            </w:r>
            <w:proofErr w:type="spellEnd"/>
            <w:r w:rsidRPr="005D7D7E">
              <w:rPr>
                <w:b/>
                <w:i/>
                <w:color w:val="000000"/>
              </w:rPr>
              <w:t xml:space="preserve"> de </w:t>
            </w:r>
            <w:proofErr w:type="spellStart"/>
            <w:r w:rsidRPr="005D7D7E">
              <w:rPr>
                <w:b/>
                <w:i/>
                <w:color w:val="000000"/>
              </w:rPr>
              <w:t>Datos</w:t>
            </w:r>
            <w:proofErr w:type="spellEnd"/>
            <w:r w:rsidRPr="005D7D7E">
              <w:rPr>
                <w:b/>
                <w:i/>
                <w:color w:val="000000"/>
              </w:rPr>
              <w:t xml:space="preserve"> (AEPD), Mario </w:t>
            </w:r>
            <w:proofErr w:type="spellStart"/>
            <w:r w:rsidRPr="005D7D7E">
              <w:rPr>
                <w:b/>
                <w:i/>
                <w:color w:val="000000"/>
              </w:rPr>
              <w:t>Costeja</w:t>
            </w:r>
            <w:proofErr w:type="spellEnd"/>
            <w:r w:rsidRPr="005D7D7E">
              <w:rPr>
                <w:b/>
                <w:i/>
                <w:color w:val="000000"/>
              </w:rPr>
              <w:t xml:space="preserve"> González</w:t>
            </w:r>
            <w:r w:rsidRPr="005D7D7E">
              <w:rPr>
                <w:b/>
                <w:color w:val="000000"/>
              </w:rPr>
              <w:t xml:space="preserve">, 13. května 2014), </w:t>
            </w:r>
            <w:r w:rsidRPr="005D7D7E">
              <w:rPr>
                <w:b/>
                <w:bCs/>
                <w:color w:val="000000"/>
              </w:rPr>
              <w:t>žádost</w:t>
            </w:r>
            <w:r w:rsidR="006E55AD">
              <w:rPr>
                <w:b/>
                <w:bCs/>
                <w:color w:val="000000"/>
              </w:rPr>
              <w:t xml:space="preserve"> </w:t>
            </w:r>
            <w:r w:rsidR="006E55AD" w:rsidRPr="005D7D7E">
              <w:rPr>
                <w:b/>
                <w:bCs/>
                <w:color w:val="000000"/>
              </w:rPr>
              <w:t>o</w:t>
            </w:r>
            <w:r w:rsidR="006E55AD">
              <w:rPr>
                <w:b/>
                <w:bCs/>
                <w:color w:val="000000"/>
              </w:rPr>
              <w:t> </w:t>
            </w:r>
            <w:r w:rsidRPr="005D7D7E">
              <w:rPr>
                <w:b/>
                <w:bCs/>
                <w:color w:val="000000"/>
              </w:rPr>
              <w:t>rozhodnutí</w:t>
            </w:r>
            <w:r w:rsidR="006E55AD">
              <w:rPr>
                <w:b/>
                <w:bCs/>
                <w:color w:val="000000"/>
              </w:rPr>
              <w:t xml:space="preserve"> </w:t>
            </w:r>
            <w:r w:rsidR="006E55AD" w:rsidRPr="005D7D7E">
              <w:rPr>
                <w:b/>
                <w:bCs/>
                <w:color w:val="000000"/>
              </w:rPr>
              <w:t>o</w:t>
            </w:r>
            <w:r w:rsidR="006E55AD">
              <w:rPr>
                <w:b/>
                <w:bCs/>
                <w:color w:val="000000"/>
              </w:rPr>
              <w:t> </w:t>
            </w:r>
            <w:r w:rsidRPr="005D7D7E">
              <w:rPr>
                <w:b/>
                <w:bCs/>
                <w:color w:val="000000"/>
              </w:rPr>
              <w:t>předběžné otázce podaná</w:t>
            </w:r>
            <w:r w:rsidRPr="005D7D7E">
              <w:rPr>
                <w:b/>
                <w:color w:val="000000"/>
              </w:rPr>
              <w:t xml:space="preserve"> </w:t>
            </w:r>
            <w:proofErr w:type="spellStart"/>
            <w:r w:rsidRPr="005D7D7E">
              <w:rPr>
                <w:b/>
                <w:color w:val="000000"/>
              </w:rPr>
              <w:t>Audiencia</w:t>
            </w:r>
            <w:proofErr w:type="spellEnd"/>
            <w:r w:rsidRPr="005D7D7E">
              <w:rPr>
                <w:b/>
                <w:color w:val="000000"/>
              </w:rPr>
              <w:t xml:space="preserve"> </w:t>
            </w:r>
            <w:proofErr w:type="spellStart"/>
            <w:r w:rsidRPr="005D7D7E">
              <w:rPr>
                <w:b/>
                <w:color w:val="000000"/>
              </w:rPr>
              <w:t>Nacional</w:t>
            </w:r>
            <w:proofErr w:type="spellEnd"/>
            <w:r w:rsidRPr="005D7D7E">
              <w:rPr>
                <w:b/>
                <w:color w:val="000000"/>
              </w:rPr>
              <w:t xml:space="preserve"> (Španělsko)</w:t>
            </w:r>
          </w:p>
          <w:p w14:paraId="3133BD99" w14:textId="77777777" w:rsidR="005D7D7E" w:rsidRPr="005D7D7E" w:rsidRDefault="005D7D7E">
            <w:pPr>
              <w:rPr>
                <w:b/>
                <w:color w:val="000000"/>
              </w:rPr>
            </w:pPr>
          </w:p>
          <w:p w14:paraId="28FD5D3E" w14:textId="77777777" w:rsidR="00613D5F" w:rsidRPr="00CA4D09" w:rsidRDefault="005D7D7E">
            <w:pPr>
              <w:rPr>
                <w:i/>
                <w:color w:val="000000"/>
              </w:rPr>
            </w:pPr>
            <w:r w:rsidRPr="00CA4D09">
              <w:rPr>
                <w:i/>
                <w:color w:val="000000"/>
              </w:rPr>
              <w:t xml:space="preserve">Klíčové </w:t>
            </w:r>
            <w:r w:rsidR="00CA4D09" w:rsidRPr="00CA4D09">
              <w:rPr>
                <w:i/>
                <w:color w:val="000000"/>
              </w:rPr>
              <w:t>pojmy</w:t>
            </w:r>
            <w:r w:rsidRPr="00CA4D09">
              <w:rPr>
                <w:i/>
                <w:color w:val="000000"/>
              </w:rPr>
              <w:t>: osobní údaje</w:t>
            </w:r>
            <w:r w:rsidR="00CA4D09" w:rsidRPr="00CA4D09">
              <w:rPr>
                <w:i/>
                <w:color w:val="000000"/>
              </w:rPr>
              <w:t xml:space="preserve"> –</w:t>
            </w:r>
            <w:r w:rsidRPr="00CA4D09">
              <w:rPr>
                <w:i/>
                <w:color w:val="000000"/>
              </w:rPr>
              <w:t xml:space="preserve"> ochrana fyzických osob</w:t>
            </w:r>
            <w:r w:rsidR="006E55AD" w:rsidRPr="00CA4D09">
              <w:rPr>
                <w:i/>
                <w:color w:val="000000"/>
              </w:rPr>
              <w:t xml:space="preserve"> v </w:t>
            </w:r>
            <w:r w:rsidRPr="00CA4D09">
              <w:rPr>
                <w:i/>
                <w:color w:val="000000"/>
              </w:rPr>
              <w:t>souvislosti se zpracováním těchto údajů</w:t>
            </w:r>
            <w:r w:rsidR="00CA4D09" w:rsidRPr="00CA4D09">
              <w:rPr>
                <w:i/>
                <w:color w:val="000000"/>
              </w:rPr>
              <w:t xml:space="preserve"> –</w:t>
            </w:r>
            <w:r w:rsidRPr="00CA4D09">
              <w:rPr>
                <w:i/>
                <w:color w:val="000000"/>
              </w:rPr>
              <w:t xml:space="preserve"> odpovědnost provozovatele</w:t>
            </w:r>
            <w:r w:rsidR="00CA4D09" w:rsidRPr="00CA4D09">
              <w:rPr>
                <w:i/>
                <w:color w:val="000000"/>
              </w:rPr>
              <w:t xml:space="preserve"> – </w:t>
            </w:r>
            <w:r w:rsidRPr="00CA4D09">
              <w:rPr>
                <w:i/>
                <w:color w:val="000000"/>
              </w:rPr>
              <w:t>volný pohyb údajů</w:t>
            </w:r>
            <w:r w:rsidR="00CA4D09" w:rsidRPr="00CA4D09">
              <w:rPr>
                <w:i/>
                <w:color w:val="000000"/>
              </w:rPr>
              <w:t xml:space="preserve"> –</w:t>
            </w:r>
            <w:r w:rsidRPr="00CA4D09">
              <w:rPr>
                <w:i/>
                <w:color w:val="000000"/>
              </w:rPr>
              <w:t xml:space="preserve"> zájem veřejnosti vs. ochrana jednotlivců</w:t>
            </w:r>
          </w:p>
          <w:p w14:paraId="1AEED204" w14:textId="77777777" w:rsidR="00613D5F" w:rsidRDefault="00613D5F">
            <w:pPr>
              <w:rPr>
                <w:color w:val="000000"/>
              </w:rPr>
            </w:pPr>
          </w:p>
          <w:p w14:paraId="56FBA9A9" w14:textId="77777777" w:rsidR="005D7D7E" w:rsidRDefault="005D7D7E">
            <w:pPr>
              <w:rPr>
                <w:color w:val="000000"/>
              </w:rPr>
            </w:pPr>
          </w:p>
          <w:p w14:paraId="0FA899CE" w14:textId="77777777" w:rsidR="00613D5F" w:rsidRPr="005D7D7E" w:rsidRDefault="005D7D7E">
            <w:pPr>
              <w:rPr>
                <w:b/>
                <w:color w:val="000000"/>
              </w:rPr>
            </w:pPr>
            <w:r w:rsidRPr="005D7D7E">
              <w:rPr>
                <w:b/>
                <w:color w:val="000000"/>
              </w:rPr>
              <w:t>Rozsudek Soudního dvora ve věci C-212/13 (</w:t>
            </w:r>
            <w:r w:rsidRPr="005D7D7E">
              <w:rPr>
                <w:b/>
                <w:i/>
                <w:color w:val="000000"/>
              </w:rPr>
              <w:t>František Ryneš v. Úřad pro ochranu osobních údajů</w:t>
            </w:r>
            <w:r w:rsidRPr="005D7D7E">
              <w:rPr>
                <w:b/>
                <w:color w:val="000000"/>
              </w:rPr>
              <w:t xml:space="preserve">, 11. prosince 2014), </w:t>
            </w:r>
            <w:r w:rsidRPr="005D7D7E">
              <w:rPr>
                <w:b/>
                <w:bCs/>
                <w:color w:val="000000"/>
              </w:rPr>
              <w:t>žádost</w:t>
            </w:r>
            <w:r w:rsidR="006E55AD">
              <w:rPr>
                <w:b/>
                <w:bCs/>
                <w:color w:val="000000"/>
              </w:rPr>
              <w:t xml:space="preserve"> </w:t>
            </w:r>
            <w:r w:rsidR="006E55AD" w:rsidRPr="005D7D7E">
              <w:rPr>
                <w:b/>
                <w:bCs/>
                <w:color w:val="000000"/>
              </w:rPr>
              <w:t>o</w:t>
            </w:r>
            <w:r w:rsidR="006E55AD">
              <w:rPr>
                <w:b/>
                <w:bCs/>
                <w:color w:val="000000"/>
              </w:rPr>
              <w:t> </w:t>
            </w:r>
            <w:r w:rsidRPr="005D7D7E">
              <w:rPr>
                <w:b/>
                <w:bCs/>
                <w:color w:val="000000"/>
              </w:rPr>
              <w:t>rozhodnutí</w:t>
            </w:r>
            <w:r w:rsidR="006E55AD">
              <w:rPr>
                <w:b/>
                <w:bCs/>
                <w:color w:val="000000"/>
              </w:rPr>
              <w:t xml:space="preserve"> </w:t>
            </w:r>
            <w:r w:rsidR="006E55AD" w:rsidRPr="005D7D7E">
              <w:rPr>
                <w:b/>
                <w:bCs/>
                <w:color w:val="000000"/>
              </w:rPr>
              <w:t>o</w:t>
            </w:r>
            <w:r w:rsidR="006E55AD">
              <w:rPr>
                <w:b/>
                <w:bCs/>
                <w:color w:val="000000"/>
              </w:rPr>
              <w:t> </w:t>
            </w:r>
            <w:r w:rsidRPr="005D7D7E">
              <w:rPr>
                <w:b/>
                <w:bCs/>
                <w:color w:val="000000"/>
              </w:rPr>
              <w:t>předběžné otázce podaná</w:t>
            </w:r>
            <w:r w:rsidRPr="005D7D7E">
              <w:rPr>
                <w:b/>
                <w:color w:val="000000"/>
              </w:rPr>
              <w:t xml:space="preserve"> Nejvyšším správním soudem (Česká republika)</w:t>
            </w:r>
          </w:p>
          <w:p w14:paraId="52212C68" w14:textId="77777777" w:rsidR="005D7D7E" w:rsidRDefault="005D7D7E"/>
          <w:p w14:paraId="5DB170F0" w14:textId="77777777" w:rsidR="00613D5F" w:rsidRPr="00CA4D09" w:rsidRDefault="005D7D7E">
            <w:pPr>
              <w:rPr>
                <w:i/>
                <w:color w:val="000000"/>
              </w:rPr>
            </w:pPr>
            <w:r w:rsidRPr="00CA4D09">
              <w:rPr>
                <w:i/>
              </w:rPr>
              <w:t xml:space="preserve">Klíčové </w:t>
            </w:r>
            <w:r w:rsidR="00CA4D09" w:rsidRPr="00CA4D09">
              <w:rPr>
                <w:i/>
              </w:rPr>
              <w:t>pojmy</w:t>
            </w:r>
            <w:r w:rsidRPr="00CA4D09">
              <w:rPr>
                <w:i/>
              </w:rPr>
              <w:t>: pojem výkonu výlučně osobních či domácích činností</w:t>
            </w:r>
            <w:r w:rsidR="00CA4D09" w:rsidRPr="00CA4D09">
              <w:rPr>
                <w:i/>
              </w:rPr>
              <w:t xml:space="preserve"> </w:t>
            </w:r>
            <w:r w:rsidR="00CA4D09" w:rsidRPr="00CA4D09">
              <w:rPr>
                <w:i/>
                <w:color w:val="000000"/>
              </w:rPr>
              <w:t>–</w:t>
            </w:r>
            <w:r w:rsidRPr="00CA4D09">
              <w:rPr>
                <w:i/>
              </w:rPr>
              <w:t xml:space="preserve"> zpracování osobních údajů</w:t>
            </w:r>
            <w:r w:rsidR="00CA4D09" w:rsidRPr="00CA4D09">
              <w:rPr>
                <w:i/>
              </w:rPr>
              <w:t xml:space="preserve"> </w:t>
            </w:r>
            <w:r w:rsidR="00CA4D09" w:rsidRPr="00CA4D09">
              <w:rPr>
                <w:i/>
                <w:color w:val="000000"/>
              </w:rPr>
              <w:t>–</w:t>
            </w:r>
            <w:r w:rsidRPr="00CA4D09">
              <w:rPr>
                <w:i/>
              </w:rPr>
              <w:t xml:space="preserve"> výjimky</w:t>
            </w:r>
            <w:r w:rsidR="006E55AD" w:rsidRPr="00CA4D09">
              <w:rPr>
                <w:i/>
              </w:rPr>
              <w:t xml:space="preserve"> a </w:t>
            </w:r>
            <w:r w:rsidRPr="00CA4D09">
              <w:rPr>
                <w:i/>
              </w:rPr>
              <w:t>omezení ve vztahu</w:t>
            </w:r>
            <w:r w:rsidR="006E55AD" w:rsidRPr="00CA4D09">
              <w:rPr>
                <w:i/>
              </w:rPr>
              <w:t xml:space="preserve"> k </w:t>
            </w:r>
            <w:r w:rsidRPr="00CA4D09">
              <w:rPr>
                <w:i/>
              </w:rPr>
              <w:t>ochraně osobních údajů se uplatní pouze, pokud jsou přísně nezbytné</w:t>
            </w:r>
            <w:r w:rsidR="00CA4D09" w:rsidRPr="00CA4D09">
              <w:rPr>
                <w:i/>
              </w:rPr>
              <w:t xml:space="preserve"> </w:t>
            </w:r>
            <w:r w:rsidR="00CA4D09" w:rsidRPr="00CA4D09">
              <w:rPr>
                <w:i/>
                <w:color w:val="000000"/>
              </w:rPr>
              <w:t xml:space="preserve">– </w:t>
            </w:r>
            <w:r w:rsidRPr="00CA4D09">
              <w:rPr>
                <w:i/>
              </w:rPr>
              <w:t>domácí kamerový systém nahrává osoby</w:t>
            </w:r>
            <w:r w:rsidR="00CA4D09" w:rsidRPr="00CA4D09">
              <w:rPr>
                <w:i/>
              </w:rPr>
              <w:t xml:space="preserve"> </w:t>
            </w:r>
            <w:r w:rsidR="00CA4D09" w:rsidRPr="00CA4D09">
              <w:rPr>
                <w:i/>
                <w:color w:val="000000"/>
              </w:rPr>
              <w:t>–</w:t>
            </w:r>
            <w:r w:rsidRPr="00CA4D09">
              <w:rPr>
                <w:i/>
              </w:rPr>
              <w:t xml:space="preserve"> ochrana vlastnictví, zdraví</w:t>
            </w:r>
            <w:r w:rsidR="006E55AD" w:rsidRPr="00CA4D09">
              <w:rPr>
                <w:i/>
              </w:rPr>
              <w:t xml:space="preserve"> a </w:t>
            </w:r>
            <w:r w:rsidRPr="00CA4D09">
              <w:rPr>
                <w:i/>
              </w:rPr>
              <w:t>života</w:t>
            </w:r>
          </w:p>
          <w:p w14:paraId="7B469B40" w14:textId="77777777" w:rsidR="00613D5F" w:rsidRDefault="00613D5F">
            <w:pPr>
              <w:rPr>
                <w:color w:val="000000"/>
              </w:rPr>
            </w:pPr>
          </w:p>
          <w:p w14:paraId="5EBECDF3" w14:textId="77777777" w:rsidR="005D7D7E" w:rsidRPr="005D7D7E" w:rsidRDefault="005D7D7E">
            <w:pPr>
              <w:rPr>
                <w:b/>
                <w:color w:val="000000"/>
              </w:rPr>
            </w:pPr>
          </w:p>
          <w:p w14:paraId="58EFCC1A" w14:textId="77777777" w:rsidR="00613D5F" w:rsidRDefault="005D7D7E">
            <w:pPr>
              <w:rPr>
                <w:b/>
                <w:color w:val="000000"/>
              </w:rPr>
            </w:pPr>
            <w:r w:rsidRPr="005D7D7E">
              <w:rPr>
                <w:b/>
                <w:color w:val="000000"/>
              </w:rPr>
              <w:t>Rozsudek Soudního dvora ve věcech C-148/13, C-149/13</w:t>
            </w:r>
            <w:r w:rsidR="006E55AD">
              <w:rPr>
                <w:b/>
                <w:color w:val="000000"/>
              </w:rPr>
              <w:t xml:space="preserve"> </w:t>
            </w:r>
            <w:r w:rsidR="006E55AD" w:rsidRPr="005D7D7E">
              <w:rPr>
                <w:b/>
                <w:color w:val="000000"/>
              </w:rPr>
              <w:t>a</w:t>
            </w:r>
            <w:r w:rsidR="006E55AD">
              <w:rPr>
                <w:b/>
                <w:color w:val="000000"/>
              </w:rPr>
              <w:t> </w:t>
            </w:r>
            <w:r w:rsidRPr="005D7D7E">
              <w:rPr>
                <w:b/>
                <w:color w:val="000000"/>
              </w:rPr>
              <w:t>C-150/13 (</w:t>
            </w:r>
            <w:r w:rsidRPr="005D7D7E">
              <w:rPr>
                <w:b/>
                <w:i/>
                <w:color w:val="000000"/>
              </w:rPr>
              <w:t>A, B, C v.</w:t>
            </w:r>
            <w:r w:rsidRPr="005D7D7E">
              <w:rPr>
                <w:b/>
              </w:rPr>
              <w:t xml:space="preserve"> </w:t>
            </w:r>
            <w:proofErr w:type="spellStart"/>
            <w:r w:rsidRPr="005D7D7E">
              <w:rPr>
                <w:b/>
                <w:i/>
                <w:color w:val="000000"/>
              </w:rPr>
              <w:t>Staatssecretaris</w:t>
            </w:r>
            <w:proofErr w:type="spellEnd"/>
            <w:r w:rsidRPr="005D7D7E">
              <w:rPr>
                <w:b/>
                <w:i/>
                <w:color w:val="000000"/>
              </w:rPr>
              <w:t xml:space="preserve"> van </w:t>
            </w:r>
            <w:proofErr w:type="spellStart"/>
            <w:r w:rsidRPr="005D7D7E">
              <w:rPr>
                <w:b/>
                <w:i/>
                <w:color w:val="000000"/>
              </w:rPr>
              <w:t>Veiligheid</w:t>
            </w:r>
            <w:proofErr w:type="spellEnd"/>
            <w:r w:rsidRPr="005D7D7E">
              <w:rPr>
                <w:b/>
                <w:i/>
                <w:color w:val="000000"/>
              </w:rPr>
              <w:t xml:space="preserve"> en </w:t>
            </w:r>
            <w:proofErr w:type="spellStart"/>
            <w:r w:rsidRPr="005D7D7E">
              <w:rPr>
                <w:b/>
                <w:i/>
                <w:color w:val="000000"/>
              </w:rPr>
              <w:t>Justitie</w:t>
            </w:r>
            <w:proofErr w:type="spellEnd"/>
            <w:r w:rsidRPr="005D7D7E">
              <w:rPr>
                <w:b/>
                <w:color w:val="000000"/>
              </w:rPr>
              <w:t xml:space="preserve">, 2. prosinec 2014), </w:t>
            </w:r>
            <w:r w:rsidRPr="005D7D7E">
              <w:rPr>
                <w:b/>
                <w:bCs/>
                <w:color w:val="000000"/>
              </w:rPr>
              <w:t>žádost</w:t>
            </w:r>
            <w:r w:rsidR="006E55AD">
              <w:rPr>
                <w:b/>
                <w:bCs/>
                <w:color w:val="000000"/>
              </w:rPr>
              <w:t xml:space="preserve"> </w:t>
            </w:r>
            <w:r w:rsidR="006E55AD" w:rsidRPr="005D7D7E">
              <w:rPr>
                <w:b/>
                <w:bCs/>
                <w:color w:val="000000"/>
              </w:rPr>
              <w:t>o</w:t>
            </w:r>
            <w:r w:rsidR="006E55AD">
              <w:rPr>
                <w:b/>
                <w:bCs/>
                <w:color w:val="000000"/>
              </w:rPr>
              <w:t> </w:t>
            </w:r>
            <w:r w:rsidRPr="005D7D7E">
              <w:rPr>
                <w:b/>
                <w:bCs/>
                <w:color w:val="000000"/>
              </w:rPr>
              <w:t>rozhodnutí</w:t>
            </w:r>
            <w:r w:rsidR="006E55AD">
              <w:rPr>
                <w:b/>
                <w:bCs/>
                <w:color w:val="000000"/>
              </w:rPr>
              <w:t xml:space="preserve"> </w:t>
            </w:r>
            <w:r w:rsidR="006E55AD" w:rsidRPr="005D7D7E">
              <w:rPr>
                <w:b/>
                <w:bCs/>
                <w:color w:val="000000"/>
              </w:rPr>
              <w:lastRenderedPageBreak/>
              <w:t>o</w:t>
            </w:r>
            <w:r w:rsidR="006E55AD">
              <w:rPr>
                <w:b/>
                <w:bCs/>
                <w:color w:val="000000"/>
              </w:rPr>
              <w:t> </w:t>
            </w:r>
            <w:r w:rsidRPr="005D7D7E">
              <w:rPr>
                <w:b/>
                <w:bCs/>
                <w:color w:val="000000"/>
              </w:rPr>
              <w:t xml:space="preserve">předběžné otázce podaná </w:t>
            </w:r>
            <w:proofErr w:type="spellStart"/>
            <w:r w:rsidRPr="005D7D7E">
              <w:rPr>
                <w:b/>
                <w:color w:val="000000"/>
              </w:rPr>
              <w:t>Raad</w:t>
            </w:r>
            <w:proofErr w:type="spellEnd"/>
            <w:r w:rsidRPr="005D7D7E">
              <w:rPr>
                <w:b/>
                <w:color w:val="000000"/>
              </w:rPr>
              <w:t xml:space="preserve"> van </w:t>
            </w:r>
            <w:proofErr w:type="spellStart"/>
            <w:r w:rsidRPr="005D7D7E">
              <w:rPr>
                <w:b/>
                <w:color w:val="000000"/>
              </w:rPr>
              <w:t>State</w:t>
            </w:r>
            <w:proofErr w:type="spellEnd"/>
            <w:r w:rsidRPr="005D7D7E">
              <w:rPr>
                <w:b/>
                <w:color w:val="000000"/>
              </w:rPr>
              <w:t xml:space="preserve"> (Nizozemsko)</w:t>
            </w:r>
          </w:p>
          <w:p w14:paraId="0275DFB6" w14:textId="77777777" w:rsidR="005D7D7E" w:rsidRPr="005D7D7E" w:rsidRDefault="005D7D7E">
            <w:pPr>
              <w:rPr>
                <w:b/>
                <w:color w:val="000000"/>
              </w:rPr>
            </w:pPr>
          </w:p>
          <w:p w14:paraId="7F13E98F" w14:textId="77777777" w:rsidR="00613D5F" w:rsidRPr="00CA4D09" w:rsidRDefault="005D7D7E">
            <w:pPr>
              <w:rPr>
                <w:i/>
                <w:color w:val="000000"/>
              </w:rPr>
            </w:pPr>
            <w:r w:rsidRPr="00CA4D09">
              <w:rPr>
                <w:i/>
                <w:color w:val="000000"/>
              </w:rPr>
              <w:t xml:space="preserve">Klíčové </w:t>
            </w:r>
            <w:r w:rsidR="00CA4D09" w:rsidRPr="00CA4D09">
              <w:rPr>
                <w:i/>
                <w:color w:val="000000"/>
              </w:rPr>
              <w:t>pojmy</w:t>
            </w:r>
            <w:r w:rsidRPr="00CA4D09">
              <w:rPr>
                <w:i/>
                <w:color w:val="000000"/>
              </w:rPr>
              <w:t>: normy týkající se podmínek pro přiznání postavení uprchlíka</w:t>
            </w:r>
            <w:r w:rsidR="00CA4D09" w:rsidRPr="00CA4D09">
              <w:rPr>
                <w:i/>
                <w:color w:val="000000"/>
              </w:rPr>
              <w:t xml:space="preserve"> – </w:t>
            </w:r>
            <w:r w:rsidRPr="00CA4D09">
              <w:rPr>
                <w:i/>
                <w:color w:val="000000"/>
              </w:rPr>
              <w:t>obava před pronásledováním</w:t>
            </w:r>
            <w:r w:rsidR="006E55AD" w:rsidRPr="00CA4D09">
              <w:rPr>
                <w:i/>
                <w:color w:val="000000"/>
              </w:rPr>
              <w:t xml:space="preserve"> z </w:t>
            </w:r>
            <w:r w:rsidRPr="00CA4D09">
              <w:rPr>
                <w:i/>
                <w:color w:val="000000"/>
              </w:rPr>
              <w:t>důvodu sexuální orientace</w:t>
            </w:r>
            <w:r w:rsidR="00CA4D09" w:rsidRPr="00CA4D09">
              <w:rPr>
                <w:i/>
                <w:color w:val="000000"/>
              </w:rPr>
              <w:t xml:space="preserve"> –</w:t>
            </w:r>
            <w:r w:rsidRPr="00CA4D09">
              <w:rPr>
                <w:i/>
                <w:color w:val="000000"/>
              </w:rPr>
              <w:t xml:space="preserve"> tvrzená sexuální orientace vs. důkazy</w:t>
            </w:r>
            <w:r w:rsidR="00CA4D09" w:rsidRPr="00CA4D09">
              <w:rPr>
                <w:i/>
                <w:color w:val="000000"/>
              </w:rPr>
              <w:t xml:space="preserve"> –</w:t>
            </w:r>
            <w:r w:rsidRPr="00CA4D09">
              <w:rPr>
                <w:i/>
                <w:color w:val="000000"/>
              </w:rPr>
              <w:t xml:space="preserve"> lidská důstojnost</w:t>
            </w:r>
            <w:r w:rsidR="00CA4D09" w:rsidRPr="00CA4D09">
              <w:rPr>
                <w:i/>
                <w:color w:val="000000"/>
              </w:rPr>
              <w:t xml:space="preserve"> –</w:t>
            </w:r>
            <w:r w:rsidRPr="00CA4D09">
              <w:rPr>
                <w:i/>
                <w:color w:val="000000"/>
              </w:rPr>
              <w:t xml:space="preserve"> respektování rodinného života</w:t>
            </w:r>
          </w:p>
          <w:p w14:paraId="39F405BE" w14:textId="77777777" w:rsidR="00613D5F" w:rsidRDefault="00613D5F">
            <w:pPr>
              <w:rPr>
                <w:color w:val="000000"/>
              </w:rPr>
            </w:pPr>
          </w:p>
          <w:p w14:paraId="618D1F11" w14:textId="77777777" w:rsidR="005D7D7E" w:rsidRDefault="005D7D7E">
            <w:pPr>
              <w:rPr>
                <w:color w:val="000000"/>
              </w:rPr>
            </w:pPr>
          </w:p>
          <w:p w14:paraId="7DEDAF3B" w14:textId="77777777" w:rsidR="005D7D7E" w:rsidRPr="005D7D7E" w:rsidRDefault="005D7D7E">
            <w:pPr>
              <w:rPr>
                <w:b/>
                <w:color w:val="000000"/>
              </w:rPr>
            </w:pPr>
          </w:p>
          <w:p w14:paraId="22686565" w14:textId="77777777" w:rsidR="00613D5F" w:rsidRPr="005D7D7E" w:rsidRDefault="005D7D7E">
            <w:pPr>
              <w:rPr>
                <w:b/>
                <w:color w:val="000000"/>
              </w:rPr>
            </w:pPr>
            <w:r w:rsidRPr="005D7D7E">
              <w:rPr>
                <w:b/>
                <w:color w:val="000000"/>
              </w:rPr>
              <w:t>Rozsudek Soudního dvora ve věci C-673/16 (</w:t>
            </w:r>
            <w:proofErr w:type="spellStart"/>
            <w:r w:rsidRPr="005D7D7E">
              <w:rPr>
                <w:b/>
                <w:i/>
                <w:color w:val="000000"/>
              </w:rPr>
              <w:t>Relu</w:t>
            </w:r>
            <w:proofErr w:type="spellEnd"/>
            <w:r w:rsidRPr="005D7D7E">
              <w:rPr>
                <w:b/>
                <w:i/>
                <w:color w:val="000000"/>
              </w:rPr>
              <w:t xml:space="preserve"> Adrian </w:t>
            </w:r>
            <w:proofErr w:type="spellStart"/>
            <w:r w:rsidRPr="005D7D7E">
              <w:rPr>
                <w:b/>
                <w:i/>
                <w:color w:val="000000"/>
              </w:rPr>
              <w:t>Coman</w:t>
            </w:r>
            <w:proofErr w:type="spellEnd"/>
            <w:r w:rsidRPr="005D7D7E">
              <w:rPr>
                <w:b/>
                <w:i/>
                <w:color w:val="000000"/>
              </w:rPr>
              <w:t xml:space="preserve">, Robert </w:t>
            </w:r>
            <w:proofErr w:type="spellStart"/>
            <w:r w:rsidRPr="005D7D7E">
              <w:rPr>
                <w:b/>
                <w:i/>
                <w:color w:val="000000"/>
              </w:rPr>
              <w:t>Clabourn</w:t>
            </w:r>
            <w:proofErr w:type="spellEnd"/>
            <w:r w:rsidRPr="005D7D7E">
              <w:rPr>
                <w:b/>
                <w:i/>
                <w:color w:val="000000"/>
              </w:rPr>
              <w:t xml:space="preserve"> </w:t>
            </w:r>
            <w:proofErr w:type="spellStart"/>
            <w:r w:rsidRPr="005D7D7E">
              <w:rPr>
                <w:b/>
                <w:i/>
                <w:color w:val="000000"/>
              </w:rPr>
              <w:t>Hamilton</w:t>
            </w:r>
            <w:proofErr w:type="spellEnd"/>
            <w:r w:rsidRPr="005D7D7E">
              <w:rPr>
                <w:b/>
                <w:i/>
                <w:color w:val="000000"/>
              </w:rPr>
              <w:t xml:space="preserve">, </w:t>
            </w:r>
            <w:proofErr w:type="spellStart"/>
            <w:r w:rsidRPr="005D7D7E">
              <w:rPr>
                <w:b/>
                <w:i/>
                <w:color w:val="000000"/>
              </w:rPr>
              <w:t>Asociaţia</w:t>
            </w:r>
            <w:proofErr w:type="spellEnd"/>
            <w:r w:rsidRPr="005D7D7E">
              <w:rPr>
                <w:b/>
                <w:i/>
                <w:color w:val="000000"/>
              </w:rPr>
              <w:t xml:space="preserve"> </w:t>
            </w:r>
            <w:proofErr w:type="spellStart"/>
            <w:r w:rsidRPr="005D7D7E">
              <w:rPr>
                <w:b/>
                <w:i/>
                <w:color w:val="000000"/>
              </w:rPr>
              <w:t>Accept</w:t>
            </w:r>
            <w:proofErr w:type="spellEnd"/>
            <w:r w:rsidRPr="005D7D7E">
              <w:rPr>
                <w:b/>
                <w:i/>
                <w:color w:val="000000"/>
              </w:rPr>
              <w:t xml:space="preserve"> v. </w:t>
            </w:r>
            <w:proofErr w:type="spellStart"/>
            <w:r w:rsidRPr="005D7D7E">
              <w:rPr>
                <w:b/>
                <w:i/>
                <w:color w:val="000000"/>
              </w:rPr>
              <w:t>Inspectoratul</w:t>
            </w:r>
            <w:proofErr w:type="spellEnd"/>
            <w:r w:rsidRPr="005D7D7E">
              <w:rPr>
                <w:b/>
                <w:i/>
                <w:color w:val="000000"/>
              </w:rPr>
              <w:t xml:space="preserve"> General </w:t>
            </w:r>
            <w:proofErr w:type="spellStart"/>
            <w:r w:rsidRPr="005D7D7E">
              <w:rPr>
                <w:b/>
                <w:i/>
                <w:color w:val="000000"/>
              </w:rPr>
              <w:t>pentru</w:t>
            </w:r>
            <w:proofErr w:type="spellEnd"/>
            <w:r w:rsidRPr="005D7D7E">
              <w:rPr>
                <w:b/>
                <w:i/>
                <w:color w:val="000000"/>
              </w:rPr>
              <w:t xml:space="preserve"> </w:t>
            </w:r>
            <w:proofErr w:type="spellStart"/>
            <w:r w:rsidRPr="005D7D7E">
              <w:rPr>
                <w:b/>
                <w:i/>
                <w:color w:val="000000"/>
              </w:rPr>
              <w:t>Imigrări</w:t>
            </w:r>
            <w:proofErr w:type="spellEnd"/>
            <w:r w:rsidRPr="005D7D7E">
              <w:rPr>
                <w:b/>
                <w:i/>
                <w:color w:val="000000"/>
              </w:rPr>
              <w:t xml:space="preserve">, </w:t>
            </w:r>
            <w:proofErr w:type="spellStart"/>
            <w:r w:rsidRPr="005D7D7E">
              <w:rPr>
                <w:b/>
                <w:i/>
                <w:color w:val="000000"/>
              </w:rPr>
              <w:t>Ministerul</w:t>
            </w:r>
            <w:proofErr w:type="spellEnd"/>
            <w:r w:rsidRPr="005D7D7E">
              <w:rPr>
                <w:b/>
                <w:i/>
                <w:color w:val="000000"/>
              </w:rPr>
              <w:t xml:space="preserve"> </w:t>
            </w:r>
            <w:proofErr w:type="spellStart"/>
            <w:r w:rsidRPr="005D7D7E">
              <w:rPr>
                <w:b/>
                <w:i/>
                <w:color w:val="000000"/>
              </w:rPr>
              <w:t>Afacerilor</w:t>
            </w:r>
            <w:proofErr w:type="spellEnd"/>
            <w:r w:rsidRPr="005D7D7E">
              <w:rPr>
                <w:b/>
                <w:i/>
                <w:color w:val="000000"/>
              </w:rPr>
              <w:t xml:space="preserve"> </w:t>
            </w:r>
            <w:proofErr w:type="spellStart"/>
            <w:r w:rsidRPr="005D7D7E">
              <w:rPr>
                <w:b/>
                <w:i/>
                <w:color w:val="000000"/>
              </w:rPr>
              <w:t>Interne</w:t>
            </w:r>
            <w:proofErr w:type="spellEnd"/>
            <w:r w:rsidRPr="005D7D7E">
              <w:rPr>
                <w:b/>
                <w:color w:val="000000"/>
              </w:rPr>
              <w:t xml:space="preserve">, 5. června 2018), </w:t>
            </w:r>
            <w:r w:rsidRPr="005D7D7E">
              <w:rPr>
                <w:b/>
                <w:bCs/>
                <w:color w:val="000000"/>
              </w:rPr>
              <w:t>žádost</w:t>
            </w:r>
            <w:r w:rsidR="006E55AD">
              <w:rPr>
                <w:b/>
                <w:bCs/>
                <w:color w:val="000000"/>
              </w:rPr>
              <w:t xml:space="preserve"> </w:t>
            </w:r>
            <w:r w:rsidR="006E55AD" w:rsidRPr="005D7D7E">
              <w:rPr>
                <w:b/>
                <w:bCs/>
                <w:color w:val="000000"/>
              </w:rPr>
              <w:t>o</w:t>
            </w:r>
            <w:r w:rsidR="006E55AD">
              <w:rPr>
                <w:b/>
                <w:bCs/>
                <w:color w:val="000000"/>
              </w:rPr>
              <w:t> </w:t>
            </w:r>
            <w:r w:rsidRPr="005D7D7E">
              <w:rPr>
                <w:b/>
                <w:bCs/>
                <w:color w:val="000000"/>
              </w:rPr>
              <w:t>rozhodnutí</w:t>
            </w:r>
            <w:r w:rsidR="006E55AD">
              <w:rPr>
                <w:b/>
                <w:bCs/>
                <w:color w:val="000000"/>
              </w:rPr>
              <w:t xml:space="preserve"> </w:t>
            </w:r>
            <w:r w:rsidR="006E55AD" w:rsidRPr="005D7D7E">
              <w:rPr>
                <w:b/>
                <w:bCs/>
                <w:color w:val="000000"/>
              </w:rPr>
              <w:t>o</w:t>
            </w:r>
            <w:r w:rsidR="006E55AD">
              <w:rPr>
                <w:b/>
                <w:bCs/>
                <w:color w:val="000000"/>
              </w:rPr>
              <w:t> </w:t>
            </w:r>
            <w:r w:rsidRPr="005D7D7E">
              <w:rPr>
                <w:b/>
                <w:bCs/>
                <w:color w:val="000000"/>
              </w:rPr>
              <w:t>předběžné otázce podaná</w:t>
            </w:r>
            <w:r w:rsidRPr="005D7D7E">
              <w:rPr>
                <w:b/>
                <w:color w:val="000000"/>
              </w:rPr>
              <w:t xml:space="preserve"> </w:t>
            </w:r>
            <w:proofErr w:type="spellStart"/>
            <w:r w:rsidRPr="005D7D7E">
              <w:rPr>
                <w:b/>
                <w:color w:val="000000"/>
              </w:rPr>
              <w:t>Curtea</w:t>
            </w:r>
            <w:proofErr w:type="spellEnd"/>
            <w:r w:rsidRPr="005D7D7E">
              <w:rPr>
                <w:b/>
                <w:color w:val="000000"/>
              </w:rPr>
              <w:t xml:space="preserve"> </w:t>
            </w:r>
            <w:proofErr w:type="spellStart"/>
            <w:r w:rsidRPr="005D7D7E">
              <w:rPr>
                <w:b/>
                <w:color w:val="000000"/>
              </w:rPr>
              <w:t>Constituţională</w:t>
            </w:r>
            <w:proofErr w:type="spellEnd"/>
            <w:r w:rsidRPr="005D7D7E">
              <w:rPr>
                <w:b/>
                <w:color w:val="000000"/>
              </w:rPr>
              <w:t xml:space="preserve"> (Ústavní soud, Rumunsko)</w:t>
            </w:r>
          </w:p>
          <w:p w14:paraId="1A068A04" w14:textId="77777777" w:rsidR="005D7D7E" w:rsidRDefault="005D7D7E">
            <w:pPr>
              <w:rPr>
                <w:color w:val="000000"/>
              </w:rPr>
            </w:pPr>
          </w:p>
          <w:p w14:paraId="07E98962" w14:textId="77777777" w:rsidR="00613D5F" w:rsidRPr="00CA4D09" w:rsidRDefault="005D7D7E">
            <w:pPr>
              <w:rPr>
                <w:i/>
                <w:color w:val="000000"/>
              </w:rPr>
            </w:pPr>
            <w:r w:rsidRPr="00CA4D09">
              <w:rPr>
                <w:i/>
                <w:color w:val="000000"/>
              </w:rPr>
              <w:t xml:space="preserve">Klíčové </w:t>
            </w:r>
            <w:r w:rsidR="00CA4D09" w:rsidRPr="00CA4D09">
              <w:rPr>
                <w:i/>
                <w:color w:val="000000"/>
              </w:rPr>
              <w:t>pojmy</w:t>
            </w:r>
            <w:r w:rsidRPr="00CA4D09">
              <w:rPr>
                <w:i/>
                <w:color w:val="000000"/>
              </w:rPr>
              <w:t>: právo občanů Unie svobodně se pohybovat</w:t>
            </w:r>
            <w:r w:rsidR="00CA4D09" w:rsidRPr="00CA4D09">
              <w:rPr>
                <w:i/>
                <w:color w:val="000000"/>
              </w:rPr>
              <w:t xml:space="preserve"> –</w:t>
            </w:r>
            <w:r w:rsidRPr="00CA4D09">
              <w:rPr>
                <w:i/>
                <w:color w:val="000000"/>
              </w:rPr>
              <w:t xml:space="preserve"> rodinní příslušníci</w:t>
            </w:r>
            <w:r w:rsidR="00CA4D09" w:rsidRPr="00CA4D09">
              <w:rPr>
                <w:i/>
                <w:color w:val="000000"/>
              </w:rPr>
              <w:t xml:space="preserve"> –</w:t>
            </w:r>
            <w:r w:rsidRPr="00CA4D09">
              <w:rPr>
                <w:i/>
                <w:color w:val="000000"/>
              </w:rPr>
              <w:t xml:space="preserve"> pojem </w:t>
            </w:r>
            <w:r w:rsidR="00CA4D09" w:rsidRPr="00CA4D09">
              <w:rPr>
                <w:i/>
                <w:color w:val="000000"/>
              </w:rPr>
              <w:t>„</w:t>
            </w:r>
            <w:r w:rsidRPr="00CA4D09">
              <w:rPr>
                <w:i/>
                <w:color w:val="000000"/>
              </w:rPr>
              <w:t>manžel nebo manželka</w:t>
            </w:r>
            <w:r w:rsidR="00CA4D09" w:rsidRPr="00CA4D09">
              <w:rPr>
                <w:i/>
                <w:color w:val="000000"/>
              </w:rPr>
              <w:t xml:space="preserve">“ – </w:t>
            </w:r>
            <w:r w:rsidRPr="00CA4D09">
              <w:rPr>
                <w:i/>
                <w:color w:val="000000"/>
              </w:rPr>
              <w:t>manželství mezi osobami stejného pohlaví</w:t>
            </w:r>
            <w:r w:rsidR="00CA4D09" w:rsidRPr="00CA4D09">
              <w:rPr>
                <w:i/>
                <w:color w:val="000000"/>
              </w:rPr>
              <w:t xml:space="preserve"> –</w:t>
            </w:r>
            <w:r w:rsidRPr="00CA4D09">
              <w:rPr>
                <w:i/>
                <w:color w:val="000000"/>
              </w:rPr>
              <w:t xml:space="preserve"> právo pobytu po dobu delší než tři měsíce</w:t>
            </w:r>
          </w:p>
          <w:p w14:paraId="2548247C" w14:textId="77777777" w:rsidR="00613D5F" w:rsidRDefault="00613D5F">
            <w:pPr>
              <w:rPr>
                <w:color w:val="000000"/>
              </w:rPr>
            </w:pPr>
          </w:p>
          <w:p w14:paraId="5BAC5F25" w14:textId="77777777" w:rsidR="005D7D7E" w:rsidRPr="005D7D7E" w:rsidRDefault="005D7D7E">
            <w:pPr>
              <w:rPr>
                <w:b/>
                <w:color w:val="000000"/>
              </w:rPr>
            </w:pPr>
          </w:p>
          <w:p w14:paraId="7ECAEDD2" w14:textId="77777777" w:rsidR="00613D5F" w:rsidRPr="005D7D7E" w:rsidRDefault="005D7D7E">
            <w:pPr>
              <w:rPr>
                <w:b/>
                <w:color w:val="000000"/>
              </w:rPr>
            </w:pPr>
            <w:r w:rsidRPr="005D7D7E">
              <w:rPr>
                <w:b/>
                <w:color w:val="000000"/>
              </w:rPr>
              <w:t>Rozsudek Soudního dvora ve věci C-193/19 (</w:t>
            </w:r>
            <w:r w:rsidRPr="005D7D7E">
              <w:rPr>
                <w:b/>
                <w:i/>
                <w:color w:val="000000"/>
              </w:rPr>
              <w:t xml:space="preserve">A v. </w:t>
            </w:r>
            <w:proofErr w:type="spellStart"/>
            <w:r w:rsidRPr="005D7D7E">
              <w:rPr>
                <w:b/>
                <w:i/>
                <w:color w:val="000000"/>
              </w:rPr>
              <w:t>Migrationsverket</w:t>
            </w:r>
            <w:proofErr w:type="spellEnd"/>
            <w:r w:rsidRPr="005D7D7E">
              <w:rPr>
                <w:b/>
                <w:color w:val="000000"/>
              </w:rPr>
              <w:t xml:space="preserve">, 4. března 2021), </w:t>
            </w:r>
            <w:r w:rsidRPr="005D7D7E">
              <w:rPr>
                <w:b/>
                <w:bCs/>
                <w:color w:val="000000"/>
              </w:rPr>
              <w:t>žádost</w:t>
            </w:r>
            <w:r w:rsidR="006E55AD">
              <w:rPr>
                <w:b/>
                <w:bCs/>
                <w:color w:val="000000"/>
              </w:rPr>
              <w:t xml:space="preserve"> </w:t>
            </w:r>
            <w:r w:rsidR="006E55AD" w:rsidRPr="005D7D7E">
              <w:rPr>
                <w:b/>
                <w:bCs/>
                <w:color w:val="000000"/>
              </w:rPr>
              <w:t>o</w:t>
            </w:r>
            <w:r w:rsidR="006E55AD">
              <w:rPr>
                <w:b/>
                <w:bCs/>
                <w:color w:val="000000"/>
              </w:rPr>
              <w:t> </w:t>
            </w:r>
            <w:r w:rsidRPr="005D7D7E">
              <w:rPr>
                <w:b/>
                <w:bCs/>
                <w:color w:val="000000"/>
              </w:rPr>
              <w:t>rozhodnutí</w:t>
            </w:r>
            <w:r w:rsidR="006E55AD">
              <w:rPr>
                <w:b/>
                <w:bCs/>
                <w:color w:val="000000"/>
              </w:rPr>
              <w:t xml:space="preserve"> </w:t>
            </w:r>
            <w:r w:rsidR="006E55AD" w:rsidRPr="005D7D7E">
              <w:rPr>
                <w:b/>
                <w:bCs/>
                <w:color w:val="000000"/>
              </w:rPr>
              <w:t>o</w:t>
            </w:r>
            <w:r w:rsidR="006E55AD">
              <w:rPr>
                <w:b/>
                <w:bCs/>
                <w:color w:val="000000"/>
              </w:rPr>
              <w:t> </w:t>
            </w:r>
            <w:r w:rsidRPr="005D7D7E">
              <w:rPr>
                <w:b/>
                <w:bCs/>
                <w:color w:val="000000"/>
              </w:rPr>
              <w:t>předběžné otázce podaná</w:t>
            </w:r>
            <w:r w:rsidRPr="005D7D7E">
              <w:rPr>
                <w:b/>
                <w:color w:val="000000"/>
              </w:rPr>
              <w:t xml:space="preserve"> </w:t>
            </w:r>
            <w:proofErr w:type="spellStart"/>
            <w:r w:rsidRPr="005D7D7E">
              <w:rPr>
                <w:b/>
                <w:color w:val="000000"/>
              </w:rPr>
              <w:t>Förvaltningsrätten</w:t>
            </w:r>
            <w:proofErr w:type="spellEnd"/>
            <w:r w:rsidR="006E55AD">
              <w:rPr>
                <w:b/>
                <w:color w:val="000000"/>
              </w:rPr>
              <w:t xml:space="preserve"> </w:t>
            </w:r>
            <w:r w:rsidR="006E55AD" w:rsidRPr="005D7D7E">
              <w:rPr>
                <w:b/>
                <w:color w:val="000000"/>
              </w:rPr>
              <w:t>i</w:t>
            </w:r>
            <w:r w:rsidR="006E55AD">
              <w:rPr>
                <w:b/>
                <w:color w:val="000000"/>
              </w:rPr>
              <w:t> </w:t>
            </w:r>
            <w:r w:rsidRPr="005D7D7E">
              <w:rPr>
                <w:b/>
                <w:color w:val="000000"/>
              </w:rPr>
              <w:t xml:space="preserve">Malmö – </w:t>
            </w:r>
            <w:proofErr w:type="spellStart"/>
            <w:r w:rsidRPr="005D7D7E">
              <w:rPr>
                <w:b/>
                <w:color w:val="000000"/>
              </w:rPr>
              <w:t>Migrationsdomstolen</w:t>
            </w:r>
            <w:proofErr w:type="spellEnd"/>
            <w:r w:rsidRPr="005D7D7E">
              <w:rPr>
                <w:b/>
                <w:color w:val="000000"/>
              </w:rPr>
              <w:t xml:space="preserve"> (Správní soud pro otázky přistěhovalectví, Malmö, Švédsko)</w:t>
            </w:r>
          </w:p>
          <w:p w14:paraId="4A129A42" w14:textId="77777777" w:rsidR="005D7D7E" w:rsidRDefault="005D7D7E">
            <w:pPr>
              <w:rPr>
                <w:color w:val="000000"/>
              </w:rPr>
            </w:pPr>
          </w:p>
          <w:p w14:paraId="46B4B150" w14:textId="77777777" w:rsidR="00613D5F" w:rsidRPr="00CA4D09" w:rsidRDefault="005D7D7E">
            <w:pPr>
              <w:rPr>
                <w:i/>
                <w:color w:val="000000"/>
              </w:rPr>
            </w:pPr>
            <w:r w:rsidRPr="00CA4D09">
              <w:rPr>
                <w:i/>
                <w:color w:val="000000"/>
              </w:rPr>
              <w:t xml:space="preserve">Klíčové </w:t>
            </w:r>
            <w:r w:rsidR="00CA4D09" w:rsidRPr="00CA4D09">
              <w:rPr>
                <w:i/>
                <w:color w:val="000000"/>
              </w:rPr>
              <w:t>pojmy</w:t>
            </w:r>
            <w:r w:rsidRPr="00CA4D09">
              <w:rPr>
                <w:i/>
                <w:color w:val="000000"/>
              </w:rPr>
              <w:t>: Schengenský informační systém</w:t>
            </w:r>
            <w:r w:rsidR="00CA4D09" w:rsidRPr="00CA4D09">
              <w:rPr>
                <w:i/>
                <w:color w:val="000000"/>
              </w:rPr>
              <w:t xml:space="preserve"> –</w:t>
            </w:r>
            <w:r w:rsidRPr="00CA4D09">
              <w:rPr>
                <w:i/>
                <w:color w:val="000000"/>
              </w:rPr>
              <w:t xml:space="preserve"> podmínky vstupu pro státní příslušníky třetích zemí</w:t>
            </w:r>
            <w:r w:rsidR="00CA4D09" w:rsidRPr="00CA4D09">
              <w:rPr>
                <w:i/>
                <w:color w:val="000000"/>
              </w:rPr>
              <w:t xml:space="preserve"> –</w:t>
            </w:r>
            <w:r w:rsidRPr="00CA4D09">
              <w:rPr>
                <w:i/>
                <w:color w:val="000000"/>
              </w:rPr>
              <w:t xml:space="preserve"> odmítnutí obnovit povolení</w:t>
            </w:r>
            <w:r w:rsidR="006E55AD" w:rsidRPr="00CA4D09">
              <w:rPr>
                <w:i/>
                <w:color w:val="000000"/>
              </w:rPr>
              <w:t xml:space="preserve"> k </w:t>
            </w:r>
            <w:r w:rsidRPr="00CA4D09">
              <w:rPr>
                <w:i/>
                <w:color w:val="000000"/>
              </w:rPr>
              <w:t>pobytu za účelem sloučení rodiny</w:t>
            </w:r>
            <w:r w:rsidR="006E55AD" w:rsidRPr="00CA4D09">
              <w:rPr>
                <w:i/>
                <w:color w:val="000000"/>
              </w:rPr>
              <w:t xml:space="preserve"> z </w:t>
            </w:r>
            <w:r w:rsidRPr="00CA4D09">
              <w:rPr>
                <w:i/>
                <w:color w:val="000000"/>
              </w:rPr>
              <w:t>důvodu, že totožnost žadatele není jednoznačně prokázána</w:t>
            </w:r>
            <w:r w:rsidR="00CA4D09" w:rsidRPr="00CA4D09">
              <w:rPr>
                <w:i/>
                <w:color w:val="000000"/>
              </w:rPr>
              <w:t xml:space="preserve"> – </w:t>
            </w:r>
            <w:r w:rsidRPr="00CA4D09">
              <w:rPr>
                <w:i/>
                <w:color w:val="000000"/>
              </w:rPr>
              <w:t>pohyb osob přes hranice</w:t>
            </w:r>
            <w:r w:rsidR="00CA4D09" w:rsidRPr="00CA4D09">
              <w:rPr>
                <w:i/>
                <w:color w:val="000000"/>
              </w:rPr>
              <w:t xml:space="preserve"> –</w:t>
            </w:r>
            <w:r w:rsidRPr="00CA4D09">
              <w:rPr>
                <w:i/>
                <w:color w:val="000000"/>
              </w:rPr>
              <w:t xml:space="preserve"> povolení udělené státním zastupitelstvím</w:t>
            </w:r>
          </w:p>
          <w:p w14:paraId="1D033403" w14:textId="77777777" w:rsidR="00613D5F" w:rsidRDefault="00613D5F">
            <w:pPr>
              <w:rPr>
                <w:color w:val="000000"/>
              </w:rPr>
            </w:pPr>
          </w:p>
          <w:p w14:paraId="1EEF2AC9" w14:textId="77777777" w:rsidR="00613D5F" w:rsidRPr="005D7D7E" w:rsidRDefault="005D7D7E">
            <w:pPr>
              <w:rPr>
                <w:b/>
                <w:color w:val="000000"/>
              </w:rPr>
            </w:pPr>
            <w:r w:rsidRPr="005D7D7E">
              <w:rPr>
                <w:b/>
                <w:color w:val="000000"/>
              </w:rPr>
              <w:t>Rozsudek Soudního dvora ve věci C-746/18 (</w:t>
            </w:r>
            <w:r w:rsidRPr="005D7D7E">
              <w:rPr>
                <w:b/>
                <w:i/>
                <w:color w:val="000000"/>
              </w:rPr>
              <w:t>H. K.</w:t>
            </w:r>
            <w:r w:rsidR="006E55AD">
              <w:rPr>
                <w:b/>
                <w:i/>
                <w:color w:val="000000"/>
              </w:rPr>
              <w:t xml:space="preserve"> </w:t>
            </w:r>
            <w:r w:rsidR="006E55AD" w:rsidRPr="005D7D7E">
              <w:rPr>
                <w:b/>
                <w:i/>
                <w:color w:val="000000"/>
              </w:rPr>
              <w:t>v</w:t>
            </w:r>
            <w:r w:rsidR="006E55AD">
              <w:rPr>
                <w:b/>
                <w:i/>
                <w:color w:val="000000"/>
              </w:rPr>
              <w:t> </w:t>
            </w:r>
            <w:proofErr w:type="spellStart"/>
            <w:r w:rsidRPr="005D7D7E">
              <w:rPr>
                <w:b/>
                <w:i/>
                <w:color w:val="000000"/>
              </w:rPr>
              <w:t>Prokuratuur</w:t>
            </w:r>
            <w:proofErr w:type="spellEnd"/>
            <w:r w:rsidRPr="005D7D7E">
              <w:rPr>
                <w:b/>
                <w:color w:val="000000"/>
              </w:rPr>
              <w:t xml:space="preserve">, 2. března 2021), </w:t>
            </w:r>
            <w:r w:rsidRPr="005D7D7E">
              <w:rPr>
                <w:b/>
                <w:bCs/>
                <w:color w:val="000000"/>
              </w:rPr>
              <w:t>žádost</w:t>
            </w:r>
            <w:r w:rsidR="006E55AD">
              <w:rPr>
                <w:b/>
                <w:bCs/>
                <w:color w:val="000000"/>
              </w:rPr>
              <w:t xml:space="preserve"> </w:t>
            </w:r>
            <w:r w:rsidR="006E55AD" w:rsidRPr="005D7D7E">
              <w:rPr>
                <w:b/>
                <w:bCs/>
                <w:color w:val="000000"/>
              </w:rPr>
              <w:t>o</w:t>
            </w:r>
            <w:r w:rsidR="006E55AD">
              <w:rPr>
                <w:b/>
                <w:bCs/>
                <w:color w:val="000000"/>
              </w:rPr>
              <w:t> </w:t>
            </w:r>
            <w:r w:rsidRPr="005D7D7E">
              <w:rPr>
                <w:b/>
                <w:bCs/>
                <w:color w:val="000000"/>
              </w:rPr>
              <w:t>rozhodnutí</w:t>
            </w:r>
            <w:r w:rsidR="006E55AD">
              <w:rPr>
                <w:b/>
                <w:bCs/>
                <w:color w:val="000000"/>
              </w:rPr>
              <w:t xml:space="preserve"> </w:t>
            </w:r>
            <w:r w:rsidR="006E55AD" w:rsidRPr="005D7D7E">
              <w:rPr>
                <w:b/>
                <w:bCs/>
                <w:color w:val="000000"/>
              </w:rPr>
              <w:t>o</w:t>
            </w:r>
            <w:r w:rsidR="006E55AD">
              <w:rPr>
                <w:b/>
                <w:bCs/>
                <w:color w:val="000000"/>
              </w:rPr>
              <w:t> </w:t>
            </w:r>
            <w:r w:rsidRPr="005D7D7E">
              <w:rPr>
                <w:b/>
                <w:bCs/>
                <w:color w:val="000000"/>
              </w:rPr>
              <w:t>předběžné otázce podaná</w:t>
            </w:r>
            <w:r w:rsidRPr="005D7D7E">
              <w:rPr>
                <w:b/>
                <w:color w:val="000000"/>
              </w:rPr>
              <w:t xml:space="preserve"> </w:t>
            </w:r>
            <w:proofErr w:type="spellStart"/>
            <w:r w:rsidRPr="005D7D7E">
              <w:rPr>
                <w:b/>
                <w:bCs/>
                <w:color w:val="000000"/>
              </w:rPr>
              <w:t>Riigikohus</w:t>
            </w:r>
            <w:proofErr w:type="spellEnd"/>
            <w:r w:rsidRPr="005D7D7E">
              <w:rPr>
                <w:b/>
                <w:bCs/>
                <w:color w:val="000000"/>
              </w:rPr>
              <w:t xml:space="preserve"> (Nejvyšší soud, Estonsko)</w:t>
            </w:r>
          </w:p>
          <w:p w14:paraId="584936BD" w14:textId="77777777" w:rsidR="005D7D7E" w:rsidRDefault="005D7D7E">
            <w:pPr>
              <w:rPr>
                <w:color w:val="000000"/>
              </w:rPr>
            </w:pPr>
          </w:p>
          <w:p w14:paraId="0BC5C2B6" w14:textId="77777777" w:rsidR="00613D5F" w:rsidRPr="00CA4D09" w:rsidRDefault="005D7D7E">
            <w:pPr>
              <w:rPr>
                <w:i/>
                <w:color w:val="000000"/>
              </w:rPr>
            </w:pPr>
            <w:r w:rsidRPr="00CA4D09">
              <w:rPr>
                <w:i/>
                <w:color w:val="000000"/>
              </w:rPr>
              <w:t xml:space="preserve">Klíčové </w:t>
            </w:r>
            <w:r w:rsidR="00CA4D09" w:rsidRPr="00CA4D09">
              <w:rPr>
                <w:i/>
                <w:color w:val="000000"/>
              </w:rPr>
              <w:t>pojmy</w:t>
            </w:r>
            <w:r w:rsidRPr="00CA4D09">
              <w:rPr>
                <w:i/>
                <w:color w:val="000000"/>
              </w:rPr>
              <w:t>: zpracování osobních údajů</w:t>
            </w:r>
            <w:r w:rsidR="00CA4D09" w:rsidRPr="00CA4D09">
              <w:rPr>
                <w:i/>
                <w:color w:val="000000"/>
              </w:rPr>
              <w:t xml:space="preserve"> –</w:t>
            </w:r>
            <w:r w:rsidRPr="00CA4D09">
              <w:rPr>
                <w:i/>
                <w:color w:val="000000"/>
              </w:rPr>
              <w:t xml:space="preserve"> důvěrný charakter sdělení</w:t>
            </w:r>
            <w:r w:rsidR="00CA4D09" w:rsidRPr="00CA4D09">
              <w:rPr>
                <w:i/>
                <w:color w:val="000000"/>
              </w:rPr>
              <w:t xml:space="preserve"> –</w:t>
            </w:r>
            <w:r w:rsidRPr="00CA4D09">
              <w:rPr>
                <w:i/>
                <w:color w:val="000000"/>
              </w:rPr>
              <w:t xml:space="preserve"> uchovávání provozních</w:t>
            </w:r>
            <w:r w:rsidR="006E55AD" w:rsidRPr="00CA4D09">
              <w:rPr>
                <w:i/>
                <w:color w:val="000000"/>
              </w:rPr>
              <w:t xml:space="preserve"> a </w:t>
            </w:r>
            <w:r w:rsidRPr="00CA4D09">
              <w:rPr>
                <w:i/>
                <w:color w:val="000000"/>
              </w:rPr>
              <w:t>lokalizačních údajů poskytovateli služeb elektronických komunikací</w:t>
            </w:r>
            <w:r w:rsidR="00CA4D09" w:rsidRPr="00CA4D09">
              <w:rPr>
                <w:i/>
                <w:color w:val="000000"/>
              </w:rPr>
              <w:t xml:space="preserve"> –</w:t>
            </w:r>
            <w:r w:rsidRPr="00CA4D09">
              <w:rPr>
                <w:i/>
                <w:color w:val="000000"/>
              </w:rPr>
              <w:t xml:space="preserve"> použití údajů</w:t>
            </w:r>
            <w:r w:rsidR="006E55AD" w:rsidRPr="00CA4D09">
              <w:rPr>
                <w:i/>
                <w:color w:val="000000"/>
              </w:rPr>
              <w:t xml:space="preserve"> v </w:t>
            </w:r>
            <w:r w:rsidRPr="00CA4D09">
              <w:rPr>
                <w:i/>
                <w:color w:val="000000"/>
              </w:rPr>
              <w:t>rámci trestního řízení jakožto důkazů</w:t>
            </w:r>
            <w:r w:rsidR="00CA4D09" w:rsidRPr="00CA4D09">
              <w:rPr>
                <w:i/>
                <w:color w:val="000000"/>
              </w:rPr>
              <w:t xml:space="preserve"> –</w:t>
            </w:r>
            <w:r w:rsidRPr="00CA4D09">
              <w:rPr>
                <w:i/>
                <w:color w:val="000000"/>
              </w:rPr>
              <w:t xml:space="preserve"> přípustnost</w:t>
            </w:r>
          </w:p>
          <w:p w14:paraId="3CCB6F9F" w14:textId="77777777" w:rsidR="00613D5F" w:rsidRDefault="00613D5F">
            <w:pPr>
              <w:rPr>
                <w:color w:val="000000"/>
              </w:rPr>
            </w:pPr>
          </w:p>
          <w:p w14:paraId="638606BE" w14:textId="77777777" w:rsidR="00613D5F" w:rsidRPr="005D7D7E" w:rsidRDefault="005D7D7E">
            <w:pPr>
              <w:rPr>
                <w:b/>
                <w:color w:val="000000"/>
              </w:rPr>
            </w:pPr>
            <w:r w:rsidRPr="005D7D7E">
              <w:rPr>
                <w:b/>
                <w:color w:val="000000"/>
              </w:rPr>
              <w:t>Rozsudek Soudního dvora ve věci C-490/20 (</w:t>
            </w:r>
            <w:r w:rsidRPr="005D7D7E">
              <w:rPr>
                <w:b/>
                <w:i/>
                <w:color w:val="000000"/>
              </w:rPr>
              <w:t>V.M.A v.</w:t>
            </w:r>
            <w:r w:rsidRPr="005D7D7E">
              <w:rPr>
                <w:b/>
              </w:rPr>
              <w:t xml:space="preserve"> </w:t>
            </w:r>
            <w:proofErr w:type="spellStart"/>
            <w:r>
              <w:rPr>
                <w:b/>
                <w:i/>
                <w:color w:val="000000"/>
              </w:rPr>
              <w:t>Stolichna</w:t>
            </w:r>
            <w:proofErr w:type="spellEnd"/>
            <w:r>
              <w:rPr>
                <w:b/>
                <w:i/>
                <w:color w:val="000000"/>
              </w:rPr>
              <w:t xml:space="preserve"> </w:t>
            </w:r>
            <w:proofErr w:type="spellStart"/>
            <w:r>
              <w:rPr>
                <w:b/>
                <w:i/>
                <w:color w:val="000000"/>
              </w:rPr>
              <w:t>obshtina</w:t>
            </w:r>
            <w:proofErr w:type="spellEnd"/>
            <w:r>
              <w:rPr>
                <w:b/>
                <w:i/>
                <w:color w:val="000000"/>
              </w:rPr>
              <w:t xml:space="preserve">, </w:t>
            </w:r>
            <w:proofErr w:type="spellStart"/>
            <w:r>
              <w:rPr>
                <w:b/>
                <w:i/>
                <w:color w:val="000000"/>
              </w:rPr>
              <w:t>rayon</w:t>
            </w:r>
            <w:proofErr w:type="spellEnd"/>
            <w:r>
              <w:rPr>
                <w:b/>
                <w:i/>
                <w:color w:val="000000"/>
              </w:rPr>
              <w:t xml:space="preserve"> </w:t>
            </w:r>
            <w:proofErr w:type="spellStart"/>
            <w:r w:rsidRPr="005D7D7E">
              <w:rPr>
                <w:b/>
                <w:i/>
                <w:color w:val="000000"/>
              </w:rPr>
              <w:t>Pancharevo</w:t>
            </w:r>
            <w:proofErr w:type="spellEnd"/>
            <w:r w:rsidRPr="005D7D7E">
              <w:rPr>
                <w:b/>
                <w:color w:val="000000"/>
              </w:rPr>
              <w:t xml:space="preserve">, 14. prosince 2021), </w:t>
            </w:r>
            <w:r w:rsidRPr="005D7D7E">
              <w:rPr>
                <w:b/>
                <w:bCs/>
                <w:color w:val="000000"/>
              </w:rPr>
              <w:t>žádost</w:t>
            </w:r>
            <w:r w:rsidR="006E55AD">
              <w:rPr>
                <w:b/>
                <w:bCs/>
                <w:color w:val="000000"/>
              </w:rPr>
              <w:t xml:space="preserve"> </w:t>
            </w:r>
            <w:r w:rsidR="006E55AD" w:rsidRPr="005D7D7E">
              <w:rPr>
                <w:b/>
                <w:bCs/>
                <w:color w:val="000000"/>
              </w:rPr>
              <w:t>o</w:t>
            </w:r>
            <w:r w:rsidR="006E55AD">
              <w:rPr>
                <w:b/>
                <w:bCs/>
                <w:color w:val="000000"/>
              </w:rPr>
              <w:t> </w:t>
            </w:r>
            <w:r w:rsidRPr="005D7D7E">
              <w:rPr>
                <w:b/>
                <w:bCs/>
                <w:color w:val="000000"/>
              </w:rPr>
              <w:t>rozhodnutí</w:t>
            </w:r>
            <w:r w:rsidR="006E55AD">
              <w:rPr>
                <w:b/>
                <w:bCs/>
                <w:color w:val="000000"/>
              </w:rPr>
              <w:t xml:space="preserve"> </w:t>
            </w:r>
            <w:r w:rsidR="006E55AD" w:rsidRPr="005D7D7E">
              <w:rPr>
                <w:b/>
                <w:bCs/>
                <w:color w:val="000000"/>
              </w:rPr>
              <w:t>o</w:t>
            </w:r>
            <w:r w:rsidR="006E55AD">
              <w:rPr>
                <w:b/>
                <w:bCs/>
                <w:color w:val="000000"/>
              </w:rPr>
              <w:t> </w:t>
            </w:r>
            <w:r w:rsidRPr="005D7D7E">
              <w:rPr>
                <w:b/>
                <w:bCs/>
                <w:color w:val="000000"/>
              </w:rPr>
              <w:t>předběžné otázce podaná</w:t>
            </w:r>
            <w:r w:rsidRPr="005D7D7E">
              <w:rPr>
                <w:b/>
                <w:color w:val="000000"/>
              </w:rPr>
              <w:t xml:space="preserve"> </w:t>
            </w:r>
            <w:proofErr w:type="spellStart"/>
            <w:r w:rsidRPr="005D7D7E">
              <w:rPr>
                <w:b/>
                <w:color w:val="000000"/>
              </w:rPr>
              <w:t>Administrativen</w:t>
            </w:r>
            <w:proofErr w:type="spellEnd"/>
            <w:r w:rsidRPr="005D7D7E">
              <w:rPr>
                <w:b/>
                <w:color w:val="000000"/>
              </w:rPr>
              <w:t xml:space="preserve"> sad Sofia-grad (Správní soud města Sofia, Bulharsko)</w:t>
            </w:r>
          </w:p>
          <w:p w14:paraId="27BD9B04" w14:textId="77777777" w:rsidR="005D7D7E" w:rsidRDefault="005D7D7E">
            <w:pPr>
              <w:rPr>
                <w:color w:val="000000"/>
              </w:rPr>
            </w:pPr>
          </w:p>
          <w:p w14:paraId="2FF0A2D3" w14:textId="77777777" w:rsidR="00613D5F" w:rsidRPr="00CA4D09" w:rsidRDefault="005D7D7E">
            <w:pPr>
              <w:rPr>
                <w:i/>
                <w:color w:val="000000"/>
              </w:rPr>
            </w:pPr>
            <w:r w:rsidRPr="00CA4D09">
              <w:rPr>
                <w:i/>
                <w:color w:val="000000"/>
              </w:rPr>
              <w:t xml:space="preserve">Klíčové </w:t>
            </w:r>
            <w:r w:rsidR="00CA4D09" w:rsidRPr="00CA4D09">
              <w:rPr>
                <w:i/>
                <w:color w:val="000000"/>
              </w:rPr>
              <w:t>pojmy</w:t>
            </w:r>
            <w:r w:rsidRPr="00CA4D09">
              <w:rPr>
                <w:i/>
                <w:color w:val="000000"/>
              </w:rPr>
              <w:t>: volný pohyb</w:t>
            </w:r>
            <w:r w:rsidR="00CA4D09" w:rsidRPr="00CA4D09">
              <w:rPr>
                <w:i/>
                <w:color w:val="000000"/>
              </w:rPr>
              <w:t xml:space="preserve"> –</w:t>
            </w:r>
            <w:r w:rsidRPr="00CA4D09">
              <w:rPr>
                <w:i/>
                <w:color w:val="000000"/>
              </w:rPr>
              <w:t xml:space="preserve"> rodný list</w:t>
            </w:r>
            <w:r w:rsidR="006E55AD" w:rsidRPr="00CA4D09">
              <w:rPr>
                <w:i/>
                <w:color w:val="000000"/>
              </w:rPr>
              <w:t xml:space="preserve"> s </w:t>
            </w:r>
            <w:r w:rsidRPr="00CA4D09">
              <w:rPr>
                <w:i/>
                <w:color w:val="000000"/>
              </w:rPr>
              <w:t>údajem, že dítě má dvě matky</w:t>
            </w:r>
            <w:r w:rsidR="00CA4D09" w:rsidRPr="00CA4D09">
              <w:rPr>
                <w:i/>
                <w:color w:val="000000"/>
              </w:rPr>
              <w:t xml:space="preserve"> –</w:t>
            </w:r>
            <w:r w:rsidRPr="00CA4D09">
              <w:rPr>
                <w:i/>
                <w:color w:val="000000"/>
              </w:rPr>
              <w:t xml:space="preserve"> odmítnutí vydat uvedenému dítěti rodný list kvůli nedostatku informací</w:t>
            </w:r>
            <w:r w:rsidR="006E55AD" w:rsidRPr="00CA4D09">
              <w:rPr>
                <w:i/>
                <w:color w:val="000000"/>
              </w:rPr>
              <w:t xml:space="preserve"> o </w:t>
            </w:r>
            <w:r w:rsidRPr="00CA4D09">
              <w:rPr>
                <w:i/>
                <w:color w:val="000000"/>
              </w:rPr>
              <w:t>totožnosti jeho biologické matky</w:t>
            </w:r>
            <w:r w:rsidR="00CA4D09" w:rsidRPr="00CA4D09">
              <w:rPr>
                <w:i/>
                <w:color w:val="000000"/>
              </w:rPr>
              <w:t xml:space="preserve"> –</w:t>
            </w:r>
            <w:r w:rsidRPr="00CA4D09">
              <w:rPr>
                <w:i/>
                <w:color w:val="000000"/>
              </w:rPr>
              <w:t xml:space="preserve"> vnitrostátní právní úprava neumožňuje, aby rodiči byly osoby stejného pohlaví</w:t>
            </w:r>
            <w:r w:rsidR="00CA4D09" w:rsidRPr="00CA4D09">
              <w:rPr>
                <w:i/>
                <w:color w:val="000000"/>
              </w:rPr>
              <w:t xml:space="preserve"> – </w:t>
            </w:r>
            <w:r w:rsidRPr="00CA4D09">
              <w:rPr>
                <w:i/>
                <w:color w:val="000000"/>
              </w:rPr>
              <w:t>povinnost mít rodný list</w:t>
            </w:r>
            <w:r w:rsidR="006E55AD" w:rsidRPr="00CA4D09">
              <w:rPr>
                <w:i/>
                <w:color w:val="000000"/>
              </w:rPr>
              <w:t xml:space="preserve"> k </w:t>
            </w:r>
            <w:r w:rsidRPr="00CA4D09">
              <w:rPr>
                <w:i/>
                <w:color w:val="000000"/>
              </w:rPr>
              <w:t>dispozici coby podmínka vydání průkazu totožnosti nebo cestovního pasu</w:t>
            </w:r>
            <w:r w:rsidR="00CA4D09" w:rsidRPr="00CA4D09">
              <w:rPr>
                <w:i/>
                <w:color w:val="000000"/>
              </w:rPr>
              <w:t xml:space="preserve"> –</w:t>
            </w:r>
            <w:r w:rsidRPr="00CA4D09">
              <w:rPr>
                <w:i/>
                <w:color w:val="000000"/>
              </w:rPr>
              <w:t xml:space="preserve"> rodinný život</w:t>
            </w:r>
          </w:p>
          <w:p w14:paraId="3DA33F3C" w14:textId="77777777" w:rsidR="00613D5F" w:rsidRDefault="00613D5F">
            <w:pPr>
              <w:rPr>
                <w:i/>
                <w:color w:val="000000"/>
              </w:rPr>
            </w:pPr>
          </w:p>
          <w:p w14:paraId="3ABDBEAF" w14:textId="77777777" w:rsidR="005D7D7E" w:rsidRDefault="005D7D7E">
            <w:pPr>
              <w:rPr>
                <w:i/>
                <w:color w:val="000000"/>
              </w:rPr>
            </w:pPr>
          </w:p>
          <w:p w14:paraId="390DC3F3" w14:textId="77777777" w:rsidR="00613D5F" w:rsidRDefault="00613D5F" w:rsidP="00E25994">
            <w:pPr>
              <w:rPr>
                <w:i/>
              </w:rPr>
            </w:pPr>
          </w:p>
        </w:tc>
      </w:tr>
      <w:tr w:rsidR="00613D5F" w14:paraId="176D8EDC" w14:textId="77777777">
        <w:tc>
          <w:tcPr>
            <w:tcW w:w="8494" w:type="dxa"/>
          </w:tcPr>
          <w:p w14:paraId="3F1EB0B3" w14:textId="77777777" w:rsidR="00613D5F" w:rsidRDefault="005D7D7E">
            <w:pPr>
              <w:rPr>
                <w:b/>
              </w:rPr>
            </w:pPr>
            <w:r>
              <w:rPr>
                <w:b/>
              </w:rPr>
              <w:lastRenderedPageBreak/>
              <w:t>Důležité</w:t>
            </w:r>
          </w:p>
        </w:tc>
      </w:tr>
      <w:tr w:rsidR="00613D5F" w14:paraId="7009AD92" w14:textId="77777777">
        <w:tc>
          <w:tcPr>
            <w:tcW w:w="8494" w:type="dxa"/>
          </w:tcPr>
          <w:p w14:paraId="5E316003" w14:textId="3D0380C6" w:rsidR="00613D5F" w:rsidRDefault="00E25994">
            <w:pPr>
              <w:spacing w:before="240" w:after="240"/>
              <w:jc w:val="both"/>
            </w:pPr>
            <w:r>
              <w:t>J</w:t>
            </w:r>
            <w:r w:rsidR="005D7D7E">
              <w:t>ak již bylo uvedeno</w:t>
            </w:r>
            <w:r w:rsidR="006E55AD">
              <w:t xml:space="preserve"> v </w:t>
            </w:r>
            <w:r w:rsidR="005D7D7E">
              <w:t>části týkající se výkladu podstaty práv chráněných článkem 7 Listiny, článek 7 Listiny nechrání jen jedno, nýbrž čtyři samostatná práva. Právě kvůli tomuto rozsahu může být pro advokáty relevantní široká paleta otázek. Práva související</w:t>
            </w:r>
            <w:r w:rsidR="006E55AD">
              <w:t xml:space="preserve"> s </w:t>
            </w:r>
            <w:r w:rsidR="005D7D7E">
              <w:t>článkem 7 Listiny jsou právě kvůli tomuto širokému záběru základem značné části judikatury.</w:t>
            </w:r>
          </w:p>
          <w:p w14:paraId="273D36E5" w14:textId="77777777" w:rsidR="00613D5F" w:rsidRDefault="005D7D7E">
            <w:pPr>
              <w:spacing w:before="240" w:after="240"/>
              <w:jc w:val="both"/>
            </w:pPr>
            <w:r>
              <w:t>Je důležité připomenout, že zde rovněž hraje roli neustále se vyvíjející judikatura Evropského soudu pro lidská práva (ESLP)</w:t>
            </w:r>
            <w:r w:rsidR="006E55AD">
              <w:t xml:space="preserve"> a </w:t>
            </w:r>
            <w:r>
              <w:t>advokáti by ji měli podrobně sledovat.</w:t>
            </w:r>
          </w:p>
          <w:p w14:paraId="726FC6EE" w14:textId="77777777" w:rsidR="00613D5F" w:rsidRDefault="005D7D7E">
            <w:pPr>
              <w:spacing w:before="240" w:after="240"/>
              <w:jc w:val="both"/>
            </w:pPr>
            <w:r>
              <w:t>Proč? Závěry ESLP ve věcech týkajících se použití identicky znějícího článku 8 Evropské úmluvy stanoví minimální standard ochrany pro práva zakotvená</w:t>
            </w:r>
            <w:r w:rsidR="006E55AD">
              <w:t xml:space="preserve"> v </w:t>
            </w:r>
            <w:r>
              <w:t>článku 7 Listiny (viz klauzule</w:t>
            </w:r>
            <w:r w:rsidR="006E55AD">
              <w:t xml:space="preserve"> o </w:t>
            </w:r>
            <w:r>
              <w:t>„minimální úrovni ochrany“</w:t>
            </w:r>
            <w:r w:rsidR="006E55AD">
              <w:t xml:space="preserve"> v </w:t>
            </w:r>
            <w:r>
              <w:t>článku 53 Listiny). Ochrana základních práv</w:t>
            </w:r>
            <w:r w:rsidR="006E55AD">
              <w:t xml:space="preserve"> v </w:t>
            </w:r>
            <w:r>
              <w:t>Evropské unii musí zůstat (alespoň) na této úrovni. Listina však nebrání poskytování kvalitativně vyšší ochrany. To otvírá advokátům další příležitosti</w:t>
            </w:r>
            <w:r w:rsidR="006E55AD">
              <w:t xml:space="preserve"> a </w:t>
            </w:r>
            <w:r>
              <w:t>ti tak mohou prostřednictvím režimu Listiny usilovat</w:t>
            </w:r>
            <w:r w:rsidR="006E55AD">
              <w:t xml:space="preserve"> o </w:t>
            </w:r>
            <w:r>
              <w:t>zajištění ještě vyššího standardu ochrany lidských práv pro své klienty než podle ochranného režimu Evropské úmluvy.</w:t>
            </w:r>
          </w:p>
          <w:p w14:paraId="452F8D33" w14:textId="77777777" w:rsidR="00613D5F" w:rsidRDefault="005D7D7E">
            <w:pPr>
              <w:spacing w:before="240" w:after="240"/>
              <w:jc w:val="both"/>
            </w:pPr>
            <w:r>
              <w:t>Vrátíme-li se</w:t>
            </w:r>
            <w:r w:rsidR="006E55AD">
              <w:t xml:space="preserve"> k </w:t>
            </w:r>
            <w:r>
              <w:t>podstatě věci, obsahuje článek 7 Listiny množství otázek, které budou Soudním dvorem do budoucna nadále vyjasňovány. Je tomu tak kvůli značné obecnosti klíčových pojmů chráněných článkem 7 Listiny, jež mohou být dotčeny posunem společenského pohledu na ně.</w:t>
            </w:r>
          </w:p>
          <w:p w14:paraId="4C48B75E" w14:textId="77777777" w:rsidR="00613D5F" w:rsidRDefault="005D7D7E">
            <w:pPr>
              <w:rPr>
                <w:i/>
              </w:rPr>
            </w:pPr>
            <w:r>
              <w:rPr>
                <w:i/>
              </w:rPr>
              <w:t>Jak zajišťují členské státy EU nejlepší zájem dítěte</w:t>
            </w:r>
            <w:r w:rsidR="006E55AD">
              <w:rPr>
                <w:i/>
              </w:rPr>
              <w:t xml:space="preserve"> v </w:t>
            </w:r>
            <w:r>
              <w:rPr>
                <w:i/>
              </w:rPr>
              <w:t>rozhodnutích týkajících se rodiny, včetně úpravy péče</w:t>
            </w:r>
            <w:r w:rsidR="006E55AD">
              <w:rPr>
                <w:i/>
              </w:rPr>
              <w:t xml:space="preserve"> a </w:t>
            </w:r>
            <w:r>
              <w:rPr>
                <w:i/>
              </w:rPr>
              <w:t>rodičovských práv?</w:t>
            </w:r>
          </w:p>
          <w:p w14:paraId="1CAF62D3" w14:textId="77777777" w:rsidR="00613D5F" w:rsidRDefault="005D7D7E">
            <w:pPr>
              <w:rPr>
                <w:i/>
              </w:rPr>
            </w:pPr>
            <w:r>
              <w:rPr>
                <w:i/>
              </w:rPr>
              <w:t>Jaká opatření existují</w:t>
            </w:r>
            <w:r w:rsidR="006E55AD">
              <w:rPr>
                <w:i/>
              </w:rPr>
              <w:t xml:space="preserve"> v </w:t>
            </w:r>
            <w:r>
              <w:rPr>
                <w:i/>
              </w:rPr>
              <w:t>boji proti diskriminaci založené na rodinném postavení</w:t>
            </w:r>
            <w:r w:rsidR="006E55AD">
              <w:rPr>
                <w:i/>
              </w:rPr>
              <w:t xml:space="preserve"> a </w:t>
            </w:r>
            <w:r>
              <w:rPr>
                <w:i/>
              </w:rPr>
              <w:t>jak účinná jsou při podpoře rovného zacházení</w:t>
            </w:r>
            <w:r w:rsidR="006E55AD">
              <w:rPr>
                <w:i/>
              </w:rPr>
              <w:t xml:space="preserve"> a </w:t>
            </w:r>
            <w:r>
              <w:rPr>
                <w:i/>
              </w:rPr>
              <w:t>příležitostí pro všechny fyzické osoby?</w:t>
            </w:r>
          </w:p>
          <w:p w14:paraId="0F6EEBAF" w14:textId="77777777" w:rsidR="00613D5F" w:rsidRDefault="005D7D7E">
            <w:pPr>
              <w:rPr>
                <w:i/>
              </w:rPr>
            </w:pPr>
            <w:r>
              <w:rPr>
                <w:i/>
              </w:rPr>
              <w:t>Jak se liší výklad</w:t>
            </w:r>
            <w:r w:rsidR="006E55AD">
              <w:rPr>
                <w:i/>
              </w:rPr>
              <w:t xml:space="preserve"> a </w:t>
            </w:r>
            <w:r>
              <w:rPr>
                <w:i/>
              </w:rPr>
              <w:t>aplikace článku 7 napříč členskými státy EU</w:t>
            </w:r>
            <w:r w:rsidR="006E55AD">
              <w:rPr>
                <w:i/>
              </w:rPr>
              <w:t xml:space="preserve"> a </w:t>
            </w:r>
            <w:r>
              <w:rPr>
                <w:i/>
              </w:rPr>
              <w:t>jaké problémy vyvstávají</w:t>
            </w:r>
            <w:r w:rsidR="006E55AD">
              <w:rPr>
                <w:i/>
              </w:rPr>
              <w:t xml:space="preserve"> v </w:t>
            </w:r>
            <w:r>
              <w:rPr>
                <w:i/>
              </w:rPr>
              <w:t>harmonizaci rodinného práva</w:t>
            </w:r>
            <w:r w:rsidR="006E55AD">
              <w:rPr>
                <w:i/>
              </w:rPr>
              <w:t xml:space="preserve"> a </w:t>
            </w:r>
            <w:r>
              <w:rPr>
                <w:i/>
              </w:rPr>
              <w:t>politik na evropské úrovni?</w:t>
            </w:r>
          </w:p>
          <w:p w14:paraId="2D544070" w14:textId="77777777" w:rsidR="00613D5F" w:rsidRDefault="005D7D7E">
            <w:pPr>
              <w:rPr>
                <w:i/>
              </w:rPr>
            </w:pPr>
            <w:r>
              <w:rPr>
                <w:i/>
              </w:rPr>
              <w:t>Jak vyvažuje článek 7 právo na soukromí oproti oprávněným zájmům správců</w:t>
            </w:r>
            <w:r w:rsidR="006E55AD">
              <w:rPr>
                <w:i/>
              </w:rPr>
              <w:t xml:space="preserve"> a </w:t>
            </w:r>
            <w:r>
              <w:rPr>
                <w:i/>
              </w:rPr>
              <w:t>zpracovatelů údajů?</w:t>
            </w:r>
          </w:p>
          <w:p w14:paraId="1438D471" w14:textId="77777777" w:rsidR="00613D5F" w:rsidRDefault="005D7D7E">
            <w:pPr>
              <w:rPr>
                <w:i/>
              </w:rPr>
            </w:pPr>
            <w:r>
              <w:rPr>
                <w:i/>
              </w:rPr>
              <w:t>Co představuje zákonné</w:t>
            </w:r>
            <w:r w:rsidR="006E55AD">
              <w:rPr>
                <w:i/>
              </w:rPr>
              <w:t xml:space="preserve"> a </w:t>
            </w:r>
            <w:r>
              <w:rPr>
                <w:i/>
              </w:rPr>
              <w:t>korektní zpracování osobních údajů podle článku 7</w:t>
            </w:r>
            <w:r w:rsidR="006E55AD">
              <w:rPr>
                <w:i/>
              </w:rPr>
              <w:t xml:space="preserve"> a </w:t>
            </w:r>
            <w:r>
              <w:rPr>
                <w:i/>
              </w:rPr>
              <w:t>jak organizace zajišťují jeho dodržování?</w:t>
            </w:r>
          </w:p>
          <w:p w14:paraId="633ABF07" w14:textId="77777777" w:rsidR="00613D5F" w:rsidRDefault="005D7D7E">
            <w:pPr>
              <w:rPr>
                <w:i/>
              </w:rPr>
            </w:pPr>
            <w:r>
              <w:rPr>
                <w:i/>
              </w:rPr>
              <w:t>Jaké jsou dopady článku 7 na přeshraniční předávání údajů</w:t>
            </w:r>
            <w:r w:rsidR="006E55AD">
              <w:rPr>
                <w:i/>
              </w:rPr>
              <w:t xml:space="preserve"> a </w:t>
            </w:r>
            <w:r>
              <w:rPr>
                <w:i/>
              </w:rPr>
              <w:t>mezinárodní dohody</w:t>
            </w:r>
            <w:r w:rsidR="006E55AD">
              <w:rPr>
                <w:i/>
              </w:rPr>
              <w:t xml:space="preserve"> o </w:t>
            </w:r>
            <w:r>
              <w:rPr>
                <w:i/>
              </w:rPr>
              <w:t>sdílení údajů?</w:t>
            </w:r>
          </w:p>
          <w:p w14:paraId="5FBF506C" w14:textId="77777777" w:rsidR="00613D5F" w:rsidRDefault="005D7D7E">
            <w:pPr>
              <w:rPr>
                <w:i/>
              </w:rPr>
            </w:pPr>
            <w:r>
              <w:rPr>
                <w:i/>
              </w:rPr>
              <w:t>Jak článek 7 Listiny slaďuje právo na soukromí</w:t>
            </w:r>
            <w:r w:rsidR="006E55AD">
              <w:rPr>
                <w:i/>
              </w:rPr>
              <w:t xml:space="preserve"> s </w:t>
            </w:r>
            <w:r>
              <w:rPr>
                <w:i/>
              </w:rPr>
              <w:t>oprávněnými zájmy orgánů veřejné moci</w:t>
            </w:r>
            <w:r w:rsidR="006E55AD">
              <w:rPr>
                <w:i/>
              </w:rPr>
              <w:t xml:space="preserve"> a </w:t>
            </w:r>
            <w:r>
              <w:rPr>
                <w:i/>
              </w:rPr>
              <w:t>soukromých organizací při zpracování</w:t>
            </w:r>
            <w:r w:rsidR="006E55AD">
              <w:rPr>
                <w:i/>
              </w:rPr>
              <w:t xml:space="preserve"> a </w:t>
            </w:r>
            <w:r>
              <w:rPr>
                <w:i/>
              </w:rPr>
              <w:t>sledování údajů?</w:t>
            </w:r>
          </w:p>
          <w:p w14:paraId="497D3A1E" w14:textId="77777777" w:rsidR="00613D5F" w:rsidRDefault="005D7D7E">
            <w:pPr>
              <w:rPr>
                <w:i/>
              </w:rPr>
            </w:pPr>
            <w:r>
              <w:rPr>
                <w:i/>
              </w:rPr>
              <w:t>Jak dopadají nové technologie</w:t>
            </w:r>
            <w:r w:rsidR="006E55AD">
              <w:rPr>
                <w:i/>
              </w:rPr>
              <w:t xml:space="preserve"> a </w:t>
            </w:r>
            <w:r>
              <w:rPr>
                <w:i/>
              </w:rPr>
              <w:t>praktiky digitálního sledování na rozsah</w:t>
            </w:r>
            <w:r w:rsidR="006E55AD">
              <w:rPr>
                <w:i/>
              </w:rPr>
              <w:t xml:space="preserve"> a </w:t>
            </w:r>
            <w:r>
              <w:rPr>
                <w:i/>
              </w:rPr>
              <w:t>vymáhání práv na soukromí podle článku 7?</w:t>
            </w:r>
          </w:p>
          <w:p w14:paraId="642B668A" w14:textId="77777777" w:rsidR="00613D5F" w:rsidRDefault="00613D5F">
            <w:pPr>
              <w:rPr>
                <w:i/>
              </w:rPr>
            </w:pPr>
          </w:p>
        </w:tc>
      </w:tr>
      <w:tr w:rsidR="00613D5F" w14:paraId="537F6E03" w14:textId="77777777">
        <w:tc>
          <w:tcPr>
            <w:tcW w:w="8494" w:type="dxa"/>
          </w:tcPr>
          <w:p w14:paraId="3E54BA64" w14:textId="77777777" w:rsidR="00613D5F" w:rsidRDefault="005D7D7E">
            <w:pPr>
              <w:rPr>
                <w:b/>
              </w:rPr>
            </w:pPr>
            <w:r>
              <w:rPr>
                <w:b/>
              </w:rPr>
              <w:t>Soulad</w:t>
            </w:r>
            <w:r w:rsidR="006E55AD">
              <w:rPr>
                <w:b/>
              </w:rPr>
              <w:t xml:space="preserve"> s </w:t>
            </w:r>
            <w:r>
              <w:rPr>
                <w:b/>
              </w:rPr>
              <w:t>dalšími evropskými/mezinárodními dokumenty</w:t>
            </w:r>
          </w:p>
        </w:tc>
      </w:tr>
      <w:tr w:rsidR="00613D5F" w14:paraId="5263F063" w14:textId="77777777">
        <w:tc>
          <w:tcPr>
            <w:tcW w:w="8494" w:type="dxa"/>
          </w:tcPr>
          <w:p w14:paraId="5AAC4134" w14:textId="77777777" w:rsidR="00613D5F" w:rsidRDefault="00613D5F">
            <w:pPr>
              <w:rPr>
                <w:i/>
              </w:rPr>
            </w:pPr>
          </w:p>
          <w:p w14:paraId="36234596" w14:textId="77777777" w:rsidR="00613D5F" w:rsidRDefault="005D7D7E">
            <w:r>
              <w:t>Článek 8, EÚLP</w:t>
            </w:r>
          </w:p>
          <w:p w14:paraId="02315B85" w14:textId="77777777" w:rsidR="00613D5F" w:rsidRDefault="005D7D7E">
            <w:r>
              <w:t>Článek 17, ICCPR</w:t>
            </w:r>
          </w:p>
          <w:p w14:paraId="3A90B07E" w14:textId="77777777" w:rsidR="00613D5F" w:rsidRDefault="005D7D7E">
            <w:r>
              <w:t>Článek 12, UDHR</w:t>
            </w:r>
          </w:p>
          <w:p w14:paraId="5BCFADF0" w14:textId="77777777" w:rsidR="00613D5F" w:rsidRDefault="005D7D7E">
            <w:r>
              <w:t>Článek 3, Úmluva OSN</w:t>
            </w:r>
            <w:r w:rsidR="006E55AD">
              <w:t xml:space="preserve"> o </w:t>
            </w:r>
            <w:r>
              <w:t>právech dítěte</w:t>
            </w:r>
          </w:p>
          <w:p w14:paraId="4950AAB3" w14:textId="77777777" w:rsidR="00613D5F" w:rsidRDefault="00613D5F">
            <w:pPr>
              <w:rPr>
                <w:i/>
              </w:rPr>
            </w:pPr>
          </w:p>
          <w:p w14:paraId="36B17F0D" w14:textId="77777777" w:rsidR="005D7D7E" w:rsidRDefault="005D7D7E">
            <w:pPr>
              <w:rPr>
                <w:i/>
              </w:rPr>
            </w:pPr>
          </w:p>
        </w:tc>
      </w:tr>
      <w:tr w:rsidR="00613D5F" w14:paraId="179F81BD" w14:textId="77777777">
        <w:tc>
          <w:tcPr>
            <w:tcW w:w="8494" w:type="dxa"/>
          </w:tcPr>
          <w:p w14:paraId="5F09D78F" w14:textId="77777777" w:rsidR="00613D5F" w:rsidRDefault="005D7D7E">
            <w:pPr>
              <w:rPr>
                <w:b/>
                <w:color w:val="000000"/>
              </w:rPr>
            </w:pPr>
            <w:r>
              <w:rPr>
                <w:b/>
                <w:color w:val="000000"/>
              </w:rPr>
              <w:lastRenderedPageBreak/>
              <w:t>Další zdroje</w:t>
            </w:r>
          </w:p>
        </w:tc>
      </w:tr>
      <w:tr w:rsidR="00613D5F" w14:paraId="036061A8" w14:textId="77777777">
        <w:tc>
          <w:tcPr>
            <w:tcW w:w="8494" w:type="dxa"/>
          </w:tcPr>
          <w:p w14:paraId="5D40DBA4" w14:textId="77777777" w:rsidR="00613D5F" w:rsidRDefault="00613D5F">
            <w:pPr>
              <w:rPr>
                <w:i/>
                <w:color w:val="000000"/>
              </w:rPr>
            </w:pPr>
          </w:p>
          <w:p w14:paraId="1C371452" w14:textId="77777777" w:rsidR="00613D5F" w:rsidRDefault="005D7D7E">
            <w:pPr>
              <w:numPr>
                <w:ilvl w:val="0"/>
                <w:numId w:val="1"/>
              </w:numPr>
              <w:pBdr>
                <w:top w:val="nil"/>
                <w:left w:val="nil"/>
                <w:bottom w:val="nil"/>
                <w:right w:val="nil"/>
                <w:between w:val="nil"/>
              </w:pBdr>
              <w:rPr>
                <w:i/>
                <w:color w:val="000000"/>
              </w:rPr>
            </w:pPr>
            <w:proofErr w:type="spellStart"/>
            <w:r>
              <w:rPr>
                <w:color w:val="000000"/>
              </w:rPr>
              <w:t>Hailbronner</w:t>
            </w:r>
            <w:proofErr w:type="spellEnd"/>
            <w:r>
              <w:rPr>
                <w:color w:val="000000"/>
              </w:rPr>
              <w:t>, K.</w:t>
            </w:r>
            <w:r w:rsidR="006E55AD">
              <w:rPr>
                <w:color w:val="000000"/>
              </w:rPr>
              <w:t xml:space="preserve"> a </w:t>
            </w:r>
            <w:proofErr w:type="spellStart"/>
            <w:r>
              <w:rPr>
                <w:color w:val="000000"/>
              </w:rPr>
              <w:t>Thym</w:t>
            </w:r>
            <w:proofErr w:type="spellEnd"/>
            <w:r>
              <w:rPr>
                <w:color w:val="000000"/>
              </w:rPr>
              <w:t>, D. (2022)</w:t>
            </w:r>
            <w:r>
              <w:rPr>
                <w:i/>
                <w:color w:val="000000"/>
              </w:rPr>
              <w:t xml:space="preserve"> EU </w:t>
            </w:r>
            <w:proofErr w:type="spellStart"/>
            <w:r>
              <w:rPr>
                <w:i/>
                <w:color w:val="000000"/>
              </w:rPr>
              <w:t>Immigration</w:t>
            </w:r>
            <w:proofErr w:type="spellEnd"/>
            <w:r>
              <w:rPr>
                <w:i/>
                <w:color w:val="000000"/>
              </w:rPr>
              <w:t xml:space="preserve"> and </w:t>
            </w:r>
            <w:proofErr w:type="spellStart"/>
            <w:r>
              <w:rPr>
                <w:i/>
                <w:color w:val="000000"/>
              </w:rPr>
              <w:t>Asylum</w:t>
            </w:r>
            <w:proofErr w:type="spellEnd"/>
            <w:r>
              <w:rPr>
                <w:i/>
                <w:color w:val="000000"/>
              </w:rPr>
              <w:t xml:space="preserve"> </w:t>
            </w:r>
            <w:proofErr w:type="spellStart"/>
            <w:r>
              <w:rPr>
                <w:i/>
                <w:color w:val="000000"/>
              </w:rPr>
              <w:t>Law</w:t>
            </w:r>
            <w:proofErr w:type="spellEnd"/>
            <w:r>
              <w:rPr>
                <w:i/>
                <w:color w:val="000000"/>
              </w:rPr>
              <w:t xml:space="preserve">: </w:t>
            </w:r>
            <w:proofErr w:type="spellStart"/>
            <w:r>
              <w:rPr>
                <w:i/>
                <w:color w:val="000000"/>
              </w:rPr>
              <w:t>Article</w:t>
            </w:r>
            <w:proofErr w:type="spellEnd"/>
            <w:r>
              <w:rPr>
                <w:i/>
                <w:color w:val="000000"/>
              </w:rPr>
              <w:t>-by-</w:t>
            </w:r>
            <w:proofErr w:type="spellStart"/>
            <w:r>
              <w:rPr>
                <w:i/>
                <w:color w:val="000000"/>
              </w:rPr>
              <w:t>article</w:t>
            </w:r>
            <w:proofErr w:type="spellEnd"/>
            <w:r>
              <w:rPr>
                <w:i/>
                <w:color w:val="000000"/>
              </w:rPr>
              <w:t xml:space="preserve"> </w:t>
            </w:r>
            <w:proofErr w:type="spellStart"/>
            <w:r>
              <w:rPr>
                <w:i/>
                <w:color w:val="000000"/>
              </w:rPr>
              <w:t>commentary</w:t>
            </w:r>
            <w:proofErr w:type="spellEnd"/>
            <w:r>
              <w:rPr>
                <w:i/>
                <w:color w:val="000000"/>
              </w:rPr>
              <w:t>. (Unijní přistěhovalecké</w:t>
            </w:r>
            <w:r w:rsidR="006E55AD">
              <w:rPr>
                <w:i/>
                <w:color w:val="000000"/>
              </w:rPr>
              <w:t xml:space="preserve"> a </w:t>
            </w:r>
            <w:r>
              <w:rPr>
                <w:i/>
                <w:color w:val="000000"/>
              </w:rPr>
              <w:t>azylové právo: Komentář</w:t>
            </w:r>
            <w:r w:rsidR="006E55AD">
              <w:rPr>
                <w:i/>
                <w:color w:val="000000"/>
              </w:rPr>
              <w:t xml:space="preserve"> k </w:t>
            </w:r>
            <w:r>
              <w:rPr>
                <w:i/>
                <w:color w:val="000000"/>
              </w:rPr>
              <w:t xml:space="preserve">jednotlivým článkům). </w:t>
            </w:r>
            <w:r>
              <w:rPr>
                <w:color w:val="000000"/>
              </w:rPr>
              <w:t>Mnichov: C.H. Beck.</w:t>
            </w:r>
          </w:p>
          <w:p w14:paraId="08135D4B" w14:textId="77777777" w:rsidR="00613D5F" w:rsidRDefault="005D7D7E">
            <w:pPr>
              <w:numPr>
                <w:ilvl w:val="0"/>
                <w:numId w:val="1"/>
              </w:numPr>
              <w:pBdr>
                <w:top w:val="nil"/>
                <w:left w:val="nil"/>
                <w:bottom w:val="nil"/>
                <w:right w:val="nil"/>
                <w:between w:val="nil"/>
              </w:pBdr>
              <w:rPr>
                <w:color w:val="000000"/>
              </w:rPr>
            </w:pPr>
            <w:proofErr w:type="spellStart"/>
            <w:r>
              <w:rPr>
                <w:color w:val="000000"/>
              </w:rPr>
              <w:t>Peers</w:t>
            </w:r>
            <w:proofErr w:type="spellEnd"/>
            <w:r>
              <w:rPr>
                <w:color w:val="000000"/>
              </w:rPr>
              <w:t>, S. et al. (2022)</w:t>
            </w:r>
            <w:r>
              <w:rPr>
                <w:i/>
                <w:color w:val="000000"/>
              </w:rPr>
              <w:t xml:space="preserve"> </w:t>
            </w:r>
            <w:proofErr w:type="spellStart"/>
            <w:r>
              <w:rPr>
                <w:i/>
                <w:color w:val="000000"/>
              </w:rPr>
              <w:t>The</w:t>
            </w:r>
            <w:proofErr w:type="spellEnd"/>
            <w:r>
              <w:rPr>
                <w:i/>
                <w:color w:val="000000"/>
              </w:rPr>
              <w:t xml:space="preserve"> EU Charter </w:t>
            </w:r>
            <w:proofErr w:type="spellStart"/>
            <w:r>
              <w:rPr>
                <w:i/>
                <w:color w:val="000000"/>
              </w:rPr>
              <w:t>of</w:t>
            </w:r>
            <w:proofErr w:type="spellEnd"/>
            <w:r>
              <w:rPr>
                <w:i/>
                <w:color w:val="000000"/>
              </w:rPr>
              <w:t xml:space="preserve"> </w:t>
            </w:r>
            <w:proofErr w:type="spellStart"/>
            <w:r>
              <w:rPr>
                <w:i/>
                <w:color w:val="000000"/>
              </w:rPr>
              <w:t>Fundamental</w:t>
            </w:r>
            <w:proofErr w:type="spellEnd"/>
            <w:r>
              <w:rPr>
                <w:i/>
                <w:color w:val="000000"/>
              </w:rPr>
              <w:t xml:space="preserve"> </w:t>
            </w:r>
            <w:proofErr w:type="spellStart"/>
            <w:r>
              <w:rPr>
                <w:i/>
                <w:color w:val="000000"/>
              </w:rPr>
              <w:t>Rights</w:t>
            </w:r>
            <w:proofErr w:type="spellEnd"/>
            <w:r w:rsidR="006E55AD">
              <w:rPr>
                <w:i/>
                <w:color w:val="000000"/>
              </w:rPr>
              <w:t xml:space="preserve"> A </w:t>
            </w:r>
            <w:proofErr w:type="spellStart"/>
            <w:r>
              <w:rPr>
                <w:i/>
                <w:color w:val="000000"/>
              </w:rPr>
              <w:t>Commentary</w:t>
            </w:r>
            <w:proofErr w:type="spellEnd"/>
            <w:r>
              <w:rPr>
                <w:i/>
                <w:color w:val="000000"/>
              </w:rPr>
              <w:t>. (Komentář</w:t>
            </w:r>
            <w:r w:rsidR="006E55AD">
              <w:rPr>
                <w:i/>
                <w:color w:val="000000"/>
              </w:rPr>
              <w:t xml:space="preserve"> k </w:t>
            </w:r>
            <w:r>
              <w:rPr>
                <w:i/>
                <w:color w:val="000000"/>
              </w:rPr>
              <w:t xml:space="preserve">Listině základních práv EU). </w:t>
            </w:r>
            <w:r>
              <w:rPr>
                <w:color w:val="000000"/>
              </w:rPr>
              <w:t xml:space="preserve">Baden-Baden: Nomos </w:t>
            </w:r>
            <w:proofErr w:type="spellStart"/>
            <w:r>
              <w:rPr>
                <w:color w:val="000000"/>
              </w:rPr>
              <w:t>Verlagsgesellschaft</w:t>
            </w:r>
            <w:proofErr w:type="spellEnd"/>
            <w:r>
              <w:rPr>
                <w:color w:val="000000"/>
              </w:rPr>
              <w:t xml:space="preserve"> </w:t>
            </w:r>
            <w:proofErr w:type="spellStart"/>
            <w:r>
              <w:rPr>
                <w:color w:val="000000"/>
              </w:rPr>
              <w:t>mbH</w:t>
            </w:r>
            <w:proofErr w:type="spellEnd"/>
            <w:r>
              <w:rPr>
                <w:color w:val="000000"/>
              </w:rPr>
              <w:t xml:space="preserve"> &amp; Co. KG.</w:t>
            </w:r>
          </w:p>
          <w:p w14:paraId="69EEAF01" w14:textId="77777777" w:rsidR="00613D5F" w:rsidRDefault="005D7D7E">
            <w:pPr>
              <w:numPr>
                <w:ilvl w:val="0"/>
                <w:numId w:val="1"/>
              </w:numPr>
              <w:pBdr>
                <w:top w:val="nil"/>
                <w:left w:val="nil"/>
                <w:bottom w:val="nil"/>
                <w:right w:val="nil"/>
                <w:between w:val="nil"/>
              </w:pBdr>
              <w:rPr>
                <w:color w:val="000000"/>
              </w:rPr>
            </w:pPr>
            <w:proofErr w:type="spellStart"/>
            <w:r>
              <w:rPr>
                <w:color w:val="000000"/>
              </w:rPr>
              <w:t>Tryfonidou</w:t>
            </w:r>
            <w:proofErr w:type="spellEnd"/>
            <w:r>
              <w:rPr>
                <w:color w:val="000000"/>
              </w:rPr>
              <w:t xml:space="preserve">, A. (2019) </w:t>
            </w:r>
            <w:r>
              <w:rPr>
                <w:i/>
                <w:color w:val="000000"/>
              </w:rPr>
              <w:t xml:space="preserve">„EU Free </w:t>
            </w:r>
            <w:proofErr w:type="spellStart"/>
            <w:r>
              <w:rPr>
                <w:i/>
                <w:color w:val="000000"/>
              </w:rPr>
              <w:t>Movement</w:t>
            </w:r>
            <w:proofErr w:type="spellEnd"/>
            <w:r>
              <w:rPr>
                <w:i/>
                <w:color w:val="000000"/>
              </w:rPr>
              <w:t xml:space="preserve"> </w:t>
            </w:r>
            <w:proofErr w:type="spellStart"/>
            <w:r>
              <w:rPr>
                <w:i/>
                <w:color w:val="000000"/>
              </w:rPr>
              <w:t>Law</w:t>
            </w:r>
            <w:proofErr w:type="spellEnd"/>
            <w:r>
              <w:rPr>
                <w:i/>
                <w:color w:val="000000"/>
              </w:rPr>
              <w:t xml:space="preserve"> and </w:t>
            </w:r>
            <w:proofErr w:type="spellStart"/>
            <w:r>
              <w:rPr>
                <w:i/>
                <w:color w:val="000000"/>
              </w:rPr>
              <w:t>the</w:t>
            </w:r>
            <w:proofErr w:type="spellEnd"/>
            <w:r>
              <w:rPr>
                <w:i/>
                <w:color w:val="000000"/>
              </w:rPr>
              <w:t xml:space="preserve"> </w:t>
            </w:r>
            <w:proofErr w:type="spellStart"/>
            <w:r>
              <w:rPr>
                <w:i/>
                <w:color w:val="000000"/>
              </w:rPr>
              <w:t>children</w:t>
            </w:r>
            <w:proofErr w:type="spellEnd"/>
            <w:r>
              <w:rPr>
                <w:i/>
                <w:color w:val="000000"/>
              </w:rPr>
              <w:t xml:space="preserve"> </w:t>
            </w:r>
            <w:proofErr w:type="spellStart"/>
            <w:r>
              <w:rPr>
                <w:i/>
                <w:color w:val="000000"/>
              </w:rPr>
              <w:t>of</w:t>
            </w:r>
            <w:proofErr w:type="spellEnd"/>
            <w:r>
              <w:rPr>
                <w:i/>
                <w:color w:val="000000"/>
              </w:rPr>
              <w:t xml:space="preserve"> </w:t>
            </w:r>
            <w:proofErr w:type="spellStart"/>
            <w:r>
              <w:rPr>
                <w:i/>
                <w:color w:val="000000"/>
              </w:rPr>
              <w:t>rainbow</w:t>
            </w:r>
            <w:proofErr w:type="spellEnd"/>
            <w:r>
              <w:rPr>
                <w:i/>
                <w:color w:val="000000"/>
              </w:rPr>
              <w:t xml:space="preserve"> </w:t>
            </w:r>
            <w:proofErr w:type="spellStart"/>
            <w:r>
              <w:rPr>
                <w:i/>
                <w:color w:val="000000"/>
              </w:rPr>
              <w:t>families</w:t>
            </w:r>
            <w:proofErr w:type="spellEnd"/>
            <w:r>
              <w:rPr>
                <w:i/>
                <w:color w:val="000000"/>
              </w:rPr>
              <w:t xml:space="preserve">: </w:t>
            </w:r>
            <w:proofErr w:type="spellStart"/>
            <w:r>
              <w:rPr>
                <w:i/>
                <w:color w:val="000000"/>
              </w:rPr>
              <w:t>Children</w:t>
            </w:r>
            <w:proofErr w:type="spellEnd"/>
            <w:r>
              <w:rPr>
                <w:i/>
                <w:color w:val="000000"/>
              </w:rPr>
              <w:t xml:space="preserve"> </w:t>
            </w:r>
            <w:proofErr w:type="spellStart"/>
            <w:r>
              <w:rPr>
                <w:i/>
                <w:color w:val="000000"/>
              </w:rPr>
              <w:t>of</w:t>
            </w:r>
            <w:proofErr w:type="spellEnd"/>
            <w:r w:rsidR="006E55AD">
              <w:rPr>
                <w:i/>
                <w:color w:val="000000"/>
              </w:rPr>
              <w:t xml:space="preserve"> a </w:t>
            </w:r>
            <w:proofErr w:type="spellStart"/>
            <w:r>
              <w:rPr>
                <w:i/>
                <w:color w:val="000000"/>
              </w:rPr>
              <w:t>lesser</w:t>
            </w:r>
            <w:proofErr w:type="spellEnd"/>
            <w:r>
              <w:rPr>
                <w:i/>
                <w:color w:val="000000"/>
              </w:rPr>
              <w:t xml:space="preserve"> </w:t>
            </w:r>
            <w:proofErr w:type="spellStart"/>
            <w:r>
              <w:rPr>
                <w:i/>
                <w:color w:val="000000"/>
              </w:rPr>
              <w:t>god</w:t>
            </w:r>
            <w:proofErr w:type="spellEnd"/>
            <w:r>
              <w:rPr>
                <w:i/>
                <w:color w:val="000000"/>
              </w:rPr>
              <w:t>?“ (Unijní právo volného pohybu</w:t>
            </w:r>
            <w:r w:rsidR="006E55AD">
              <w:rPr>
                <w:i/>
                <w:color w:val="000000"/>
              </w:rPr>
              <w:t xml:space="preserve"> a </w:t>
            </w:r>
            <w:r>
              <w:rPr>
                <w:i/>
                <w:color w:val="000000"/>
              </w:rPr>
              <w:t>děti</w:t>
            </w:r>
            <w:r w:rsidR="006E55AD">
              <w:rPr>
                <w:i/>
                <w:color w:val="000000"/>
              </w:rPr>
              <w:t xml:space="preserve"> z </w:t>
            </w:r>
            <w:r>
              <w:rPr>
                <w:i/>
                <w:color w:val="000000"/>
              </w:rPr>
              <w:t xml:space="preserve">duhových rodin: Děti nižšího </w:t>
            </w:r>
            <w:proofErr w:type="gramStart"/>
            <w:r>
              <w:rPr>
                <w:i/>
                <w:color w:val="000000"/>
              </w:rPr>
              <w:t>boha?</w:t>
            </w:r>
            <w:r>
              <w:rPr>
                <w:color w:val="000000"/>
              </w:rPr>
              <w:t>,</w:t>
            </w:r>
            <w:proofErr w:type="gramEnd"/>
            <w:r>
              <w:rPr>
                <w:color w:val="000000"/>
              </w:rPr>
              <w:t xml:space="preserve"> </w:t>
            </w:r>
            <w:proofErr w:type="spellStart"/>
            <w:r>
              <w:rPr>
                <w:color w:val="000000"/>
              </w:rPr>
              <w:t>Yearbook</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European</w:t>
            </w:r>
            <w:proofErr w:type="spellEnd"/>
            <w:r>
              <w:rPr>
                <w:color w:val="000000"/>
              </w:rPr>
              <w:t xml:space="preserve"> </w:t>
            </w:r>
            <w:proofErr w:type="spellStart"/>
            <w:r>
              <w:rPr>
                <w:color w:val="000000"/>
              </w:rPr>
              <w:t>Law</w:t>
            </w:r>
            <w:proofErr w:type="spellEnd"/>
            <w:r>
              <w:rPr>
                <w:color w:val="000000"/>
              </w:rPr>
              <w:t>, 38, s. 220–266. doi:10.1093/</w:t>
            </w:r>
            <w:proofErr w:type="spellStart"/>
            <w:r>
              <w:rPr>
                <w:color w:val="000000"/>
              </w:rPr>
              <w:t>yel</w:t>
            </w:r>
            <w:proofErr w:type="spellEnd"/>
            <w:r>
              <w:rPr>
                <w:color w:val="000000"/>
              </w:rPr>
              <w:t>/yez001.</w:t>
            </w:r>
          </w:p>
          <w:p w14:paraId="04BCB260" w14:textId="77777777" w:rsidR="00613D5F" w:rsidRDefault="005D7D7E">
            <w:pPr>
              <w:numPr>
                <w:ilvl w:val="0"/>
                <w:numId w:val="1"/>
              </w:numPr>
              <w:pBdr>
                <w:top w:val="nil"/>
                <w:left w:val="nil"/>
                <w:bottom w:val="nil"/>
                <w:right w:val="nil"/>
                <w:between w:val="nil"/>
              </w:pBdr>
              <w:rPr>
                <w:color w:val="000000"/>
              </w:rPr>
            </w:pPr>
            <w:proofErr w:type="spellStart"/>
            <w:r>
              <w:rPr>
                <w:color w:val="000000"/>
              </w:rPr>
              <w:t>Greer</w:t>
            </w:r>
            <w:proofErr w:type="spellEnd"/>
            <w:r>
              <w:rPr>
                <w:color w:val="000000"/>
              </w:rPr>
              <w:t xml:space="preserve">, S., </w:t>
            </w:r>
            <w:proofErr w:type="spellStart"/>
            <w:r>
              <w:rPr>
                <w:color w:val="000000"/>
              </w:rPr>
              <w:t>Gerards</w:t>
            </w:r>
            <w:proofErr w:type="spellEnd"/>
            <w:r>
              <w:rPr>
                <w:color w:val="000000"/>
              </w:rPr>
              <w:t>, J.H.</w:t>
            </w:r>
            <w:r w:rsidR="006E55AD">
              <w:rPr>
                <w:color w:val="000000"/>
              </w:rPr>
              <w:t xml:space="preserve"> a </w:t>
            </w:r>
            <w:proofErr w:type="spellStart"/>
            <w:r>
              <w:rPr>
                <w:color w:val="000000"/>
              </w:rPr>
              <w:t>Slowe</w:t>
            </w:r>
            <w:proofErr w:type="spellEnd"/>
            <w:r>
              <w:rPr>
                <w:color w:val="000000"/>
              </w:rPr>
              <w:t>, R. (2019)</w:t>
            </w:r>
            <w:r>
              <w:rPr>
                <w:i/>
                <w:color w:val="000000"/>
              </w:rPr>
              <w:t xml:space="preserve"> </w:t>
            </w:r>
            <w:proofErr w:type="spellStart"/>
            <w:r>
              <w:rPr>
                <w:i/>
                <w:color w:val="000000"/>
              </w:rPr>
              <w:t>Human</w:t>
            </w:r>
            <w:proofErr w:type="spellEnd"/>
            <w:r>
              <w:rPr>
                <w:i/>
                <w:color w:val="000000"/>
              </w:rPr>
              <w:t xml:space="preserve"> </w:t>
            </w:r>
            <w:proofErr w:type="spellStart"/>
            <w:r>
              <w:rPr>
                <w:i/>
                <w:color w:val="000000"/>
              </w:rPr>
              <w:t>rights</w:t>
            </w:r>
            <w:proofErr w:type="spellEnd"/>
            <w:r>
              <w:rPr>
                <w:i/>
                <w:color w:val="000000"/>
              </w:rPr>
              <w:t xml:space="preserve"> in </w:t>
            </w:r>
            <w:proofErr w:type="spellStart"/>
            <w:r>
              <w:rPr>
                <w:i/>
                <w:color w:val="000000"/>
              </w:rPr>
              <w:t>the</w:t>
            </w:r>
            <w:proofErr w:type="spellEnd"/>
            <w:r>
              <w:rPr>
                <w:i/>
                <w:color w:val="000000"/>
              </w:rPr>
              <w:t xml:space="preserve"> </w:t>
            </w:r>
            <w:proofErr w:type="spellStart"/>
            <w:r>
              <w:rPr>
                <w:i/>
                <w:color w:val="000000"/>
              </w:rPr>
              <w:t>Council</w:t>
            </w:r>
            <w:proofErr w:type="spellEnd"/>
            <w:r>
              <w:rPr>
                <w:i/>
                <w:color w:val="000000"/>
              </w:rPr>
              <w:t xml:space="preserve"> </w:t>
            </w:r>
            <w:proofErr w:type="spellStart"/>
            <w:r>
              <w:rPr>
                <w:i/>
                <w:color w:val="000000"/>
              </w:rPr>
              <w:t>of</w:t>
            </w:r>
            <w:proofErr w:type="spellEnd"/>
            <w:r>
              <w:rPr>
                <w:i/>
                <w:color w:val="000000"/>
              </w:rPr>
              <w:t xml:space="preserve"> </w:t>
            </w:r>
            <w:proofErr w:type="spellStart"/>
            <w:r>
              <w:rPr>
                <w:i/>
                <w:color w:val="000000"/>
              </w:rPr>
              <w:t>Europe</w:t>
            </w:r>
            <w:proofErr w:type="spellEnd"/>
            <w:r>
              <w:rPr>
                <w:i/>
                <w:color w:val="000000"/>
              </w:rPr>
              <w:t xml:space="preserve"> and </w:t>
            </w:r>
            <w:proofErr w:type="spellStart"/>
            <w:r>
              <w:rPr>
                <w:i/>
                <w:color w:val="000000"/>
              </w:rPr>
              <w:t>the</w:t>
            </w:r>
            <w:proofErr w:type="spellEnd"/>
            <w:r>
              <w:rPr>
                <w:i/>
                <w:color w:val="000000"/>
              </w:rPr>
              <w:t xml:space="preserve"> </w:t>
            </w:r>
            <w:proofErr w:type="spellStart"/>
            <w:r>
              <w:rPr>
                <w:i/>
                <w:color w:val="000000"/>
              </w:rPr>
              <w:t>European</w:t>
            </w:r>
            <w:proofErr w:type="spellEnd"/>
            <w:r>
              <w:rPr>
                <w:i/>
                <w:color w:val="000000"/>
              </w:rPr>
              <w:t xml:space="preserve"> Union </w:t>
            </w:r>
            <w:proofErr w:type="spellStart"/>
            <w:r>
              <w:rPr>
                <w:i/>
                <w:color w:val="000000"/>
              </w:rPr>
              <w:t>Achievements</w:t>
            </w:r>
            <w:proofErr w:type="spellEnd"/>
            <w:r>
              <w:rPr>
                <w:i/>
                <w:color w:val="000000"/>
              </w:rPr>
              <w:t xml:space="preserve">, </w:t>
            </w:r>
            <w:proofErr w:type="spellStart"/>
            <w:r>
              <w:rPr>
                <w:i/>
                <w:color w:val="000000"/>
              </w:rPr>
              <w:t>trends</w:t>
            </w:r>
            <w:proofErr w:type="spellEnd"/>
            <w:r>
              <w:rPr>
                <w:i/>
                <w:color w:val="000000"/>
              </w:rPr>
              <w:t xml:space="preserve"> and </w:t>
            </w:r>
            <w:proofErr w:type="spellStart"/>
            <w:r>
              <w:rPr>
                <w:i/>
                <w:color w:val="000000"/>
              </w:rPr>
              <w:t>challenges</w:t>
            </w:r>
            <w:proofErr w:type="spellEnd"/>
            <w:r>
              <w:rPr>
                <w:i/>
                <w:color w:val="000000"/>
              </w:rPr>
              <w:t>. (Lidská práva</w:t>
            </w:r>
            <w:r w:rsidR="006E55AD">
              <w:rPr>
                <w:i/>
                <w:color w:val="000000"/>
              </w:rPr>
              <w:t xml:space="preserve"> v </w:t>
            </w:r>
            <w:r>
              <w:rPr>
                <w:i/>
                <w:color w:val="000000"/>
              </w:rPr>
              <w:t>dosažených úspěších Rady Evropy</w:t>
            </w:r>
            <w:r w:rsidR="006E55AD">
              <w:rPr>
                <w:i/>
                <w:color w:val="000000"/>
              </w:rPr>
              <w:t xml:space="preserve"> a </w:t>
            </w:r>
            <w:r>
              <w:rPr>
                <w:i/>
                <w:color w:val="000000"/>
              </w:rPr>
              <w:t>EU, trendy</w:t>
            </w:r>
            <w:r w:rsidR="006E55AD">
              <w:rPr>
                <w:i/>
                <w:color w:val="000000"/>
              </w:rPr>
              <w:t xml:space="preserve"> a </w:t>
            </w:r>
            <w:r>
              <w:rPr>
                <w:i/>
                <w:color w:val="000000"/>
              </w:rPr>
              <w:t xml:space="preserve">výzvy.) </w:t>
            </w:r>
            <w:r>
              <w:rPr>
                <w:color w:val="000000"/>
              </w:rPr>
              <w:t xml:space="preserve">Cambridge, Spojené království: Cambridge University </w:t>
            </w:r>
            <w:proofErr w:type="spellStart"/>
            <w:r>
              <w:rPr>
                <w:color w:val="000000"/>
              </w:rPr>
              <w:t>Press</w:t>
            </w:r>
            <w:proofErr w:type="spellEnd"/>
            <w:r>
              <w:rPr>
                <w:color w:val="000000"/>
              </w:rPr>
              <w:t>.</w:t>
            </w:r>
          </w:p>
          <w:p w14:paraId="60BB0FF7" w14:textId="77777777" w:rsidR="00613D5F" w:rsidRDefault="00613D5F" w:rsidP="00FA5C41">
            <w:pPr>
              <w:rPr>
                <w:i/>
                <w:color w:val="000000"/>
              </w:rPr>
            </w:pPr>
          </w:p>
        </w:tc>
      </w:tr>
    </w:tbl>
    <w:p w14:paraId="238F253A" w14:textId="77777777" w:rsidR="00613D5F" w:rsidRDefault="00613D5F">
      <w:pPr>
        <w:jc w:val="both"/>
      </w:pPr>
    </w:p>
    <w:sectPr w:rsidR="00613D5F" w:rsidSect="00613D5F">
      <w:pgSz w:w="11906" w:h="16838"/>
      <w:pgMar w:top="1417" w:right="1701" w:bottom="1040" w:left="1701"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5801D0"/>
    <w:multiLevelType w:val="multilevel"/>
    <w:tmpl w:val="92CE72E0"/>
    <w:lvl w:ilvl="0">
      <w:start w:val="1"/>
      <w:numFmt w:val="bullet"/>
      <w:lvlText w:val="•"/>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90553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13D5F"/>
    <w:rsid w:val="000042E7"/>
    <w:rsid w:val="00080E19"/>
    <w:rsid w:val="000D4C77"/>
    <w:rsid w:val="001D1383"/>
    <w:rsid w:val="003E4E70"/>
    <w:rsid w:val="005D7D7E"/>
    <w:rsid w:val="005F1027"/>
    <w:rsid w:val="00602B54"/>
    <w:rsid w:val="00613D5F"/>
    <w:rsid w:val="006E55AD"/>
    <w:rsid w:val="0093557D"/>
    <w:rsid w:val="009C65C5"/>
    <w:rsid w:val="00B150C6"/>
    <w:rsid w:val="00CA4D09"/>
    <w:rsid w:val="00E25994"/>
    <w:rsid w:val="00FA5C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4E0A407"/>
  <w15:docId w15:val="{DB0B68C0-C97D-4AF2-8AE7-EA074F20C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3D5F"/>
  </w:style>
  <w:style w:type="paragraph" w:styleId="Nadpis1">
    <w:name w:val="heading 1"/>
    <w:basedOn w:val="Normln"/>
    <w:next w:val="Normln"/>
    <w:link w:val="Nadpis1Char"/>
    <w:uiPriority w:val="9"/>
    <w:qFormat/>
    <w:rsid w:val="00B37A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1"/>
    <w:next w:val="Normln1"/>
    <w:rsid w:val="00613D5F"/>
    <w:pPr>
      <w:keepNext/>
      <w:keepLines/>
      <w:spacing w:before="360" w:after="80"/>
      <w:outlineLvl w:val="1"/>
    </w:pPr>
    <w:rPr>
      <w:b/>
      <w:sz w:val="36"/>
      <w:szCs w:val="36"/>
    </w:rPr>
  </w:style>
  <w:style w:type="paragraph" w:styleId="Nadpis3">
    <w:name w:val="heading 3"/>
    <w:basedOn w:val="Normln1"/>
    <w:next w:val="Normln1"/>
    <w:rsid w:val="00613D5F"/>
    <w:pPr>
      <w:keepNext/>
      <w:keepLines/>
      <w:spacing w:before="280" w:after="80"/>
      <w:outlineLvl w:val="2"/>
    </w:pPr>
    <w:rPr>
      <w:b/>
      <w:sz w:val="28"/>
      <w:szCs w:val="28"/>
    </w:rPr>
  </w:style>
  <w:style w:type="paragraph" w:styleId="Nadpis4">
    <w:name w:val="heading 4"/>
    <w:basedOn w:val="Normln1"/>
    <w:next w:val="Normln1"/>
    <w:rsid w:val="00613D5F"/>
    <w:pPr>
      <w:keepNext/>
      <w:keepLines/>
      <w:spacing w:before="240" w:after="40"/>
      <w:outlineLvl w:val="3"/>
    </w:pPr>
    <w:rPr>
      <w:b/>
    </w:rPr>
  </w:style>
  <w:style w:type="paragraph" w:styleId="Nadpis5">
    <w:name w:val="heading 5"/>
    <w:basedOn w:val="Normln1"/>
    <w:next w:val="Normln1"/>
    <w:rsid w:val="00613D5F"/>
    <w:pPr>
      <w:keepNext/>
      <w:keepLines/>
      <w:spacing w:before="220" w:after="40"/>
      <w:outlineLvl w:val="4"/>
    </w:pPr>
    <w:rPr>
      <w:b/>
      <w:sz w:val="22"/>
      <w:szCs w:val="22"/>
    </w:rPr>
  </w:style>
  <w:style w:type="paragraph" w:styleId="Nadpis6">
    <w:name w:val="heading 6"/>
    <w:basedOn w:val="Normln1"/>
    <w:next w:val="Normln1"/>
    <w:rsid w:val="00613D5F"/>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rsid w:val="00613D5F"/>
  </w:style>
  <w:style w:type="table" w:customStyle="1" w:styleId="TableNormal">
    <w:name w:val="Table Normal"/>
    <w:rsid w:val="00613D5F"/>
    <w:tblPr>
      <w:tblCellMar>
        <w:top w:w="0" w:type="dxa"/>
        <w:left w:w="0" w:type="dxa"/>
        <w:bottom w:w="0" w:type="dxa"/>
        <w:right w:w="0" w:type="dxa"/>
      </w:tblCellMar>
    </w:tblPr>
  </w:style>
  <w:style w:type="paragraph" w:styleId="Nzev">
    <w:name w:val="Title"/>
    <w:basedOn w:val="Normln1"/>
    <w:next w:val="Normln1"/>
    <w:rsid w:val="00613D5F"/>
    <w:pPr>
      <w:keepNext/>
      <w:keepLines/>
      <w:spacing w:before="480" w:after="120"/>
    </w:pPr>
    <w:rPr>
      <w:b/>
      <w:sz w:val="72"/>
      <w:szCs w:val="72"/>
    </w:rPr>
  </w:style>
  <w:style w:type="paragraph" w:styleId="Normlnweb">
    <w:name w:val="Normal (Web)"/>
    <w:basedOn w:val="Normln"/>
    <w:uiPriority w:val="99"/>
    <w:unhideWhenUsed/>
    <w:rsid w:val="0067453B"/>
    <w:pPr>
      <w:spacing w:before="100" w:beforeAutospacing="1" w:after="100" w:afterAutospacing="1"/>
    </w:pPr>
    <w:rPr>
      <w:rFonts w:ascii="Times New Roman" w:eastAsia="Times New Roman" w:hAnsi="Times New Roman" w:cs="Times New Roman"/>
      <w:lang w:eastAsia="es-ES_tradnl"/>
    </w:rPr>
  </w:style>
  <w:style w:type="table" w:styleId="Mkatabulky">
    <w:name w:val="Table Grid"/>
    <w:basedOn w:val="Normlntabulka"/>
    <w:uiPriority w:val="39"/>
    <w:rsid w:val="00B43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C502E"/>
    <w:pPr>
      <w:ind w:left="720"/>
      <w:contextualSpacing/>
    </w:pPr>
  </w:style>
  <w:style w:type="character" w:customStyle="1" w:styleId="ui-provider">
    <w:name w:val="ui-provider"/>
    <w:basedOn w:val="Standardnpsmoodstavce"/>
    <w:rsid w:val="001B1D88"/>
  </w:style>
  <w:style w:type="character" w:styleId="Hypertextovodkaz">
    <w:name w:val="Hyperlink"/>
    <w:basedOn w:val="Standardnpsmoodstavce"/>
    <w:uiPriority w:val="99"/>
    <w:unhideWhenUsed/>
    <w:rsid w:val="001B1D88"/>
    <w:rPr>
      <w:color w:val="0000FF"/>
      <w:u w:val="single"/>
    </w:rPr>
  </w:style>
  <w:style w:type="character" w:customStyle="1" w:styleId="Nevyeenzmnka1">
    <w:name w:val="Nevyřešená zmínka1"/>
    <w:basedOn w:val="Standardnpsmoodstavce"/>
    <w:uiPriority w:val="99"/>
    <w:semiHidden/>
    <w:unhideWhenUsed/>
    <w:rsid w:val="00F31726"/>
    <w:rPr>
      <w:color w:val="605E5C"/>
      <w:shd w:val="clear" w:color="auto" w:fill="E1DFDD"/>
    </w:rPr>
  </w:style>
  <w:style w:type="character" w:styleId="Sledovanodkaz">
    <w:name w:val="FollowedHyperlink"/>
    <w:basedOn w:val="Standardnpsmoodstavce"/>
    <w:uiPriority w:val="99"/>
    <w:semiHidden/>
    <w:unhideWhenUsed/>
    <w:rsid w:val="00F31726"/>
    <w:rPr>
      <w:color w:val="954F72" w:themeColor="followedHyperlink"/>
      <w:u w:val="single"/>
    </w:rPr>
  </w:style>
  <w:style w:type="character" w:styleId="Zdraznn">
    <w:name w:val="Emphasis"/>
    <w:basedOn w:val="Standardnpsmoodstavce"/>
    <w:uiPriority w:val="20"/>
    <w:qFormat/>
    <w:rsid w:val="00470C01"/>
    <w:rPr>
      <w:i/>
      <w:iCs/>
    </w:rPr>
  </w:style>
  <w:style w:type="character" w:customStyle="1" w:styleId="Nadpis1Char">
    <w:name w:val="Nadpis 1 Char"/>
    <w:basedOn w:val="Standardnpsmoodstavce"/>
    <w:link w:val="Nadpis1"/>
    <w:uiPriority w:val="9"/>
    <w:rsid w:val="00B37ABF"/>
    <w:rPr>
      <w:rFonts w:asciiTheme="majorHAnsi" w:eastAsiaTheme="majorEastAsia" w:hAnsiTheme="majorHAnsi" w:cstheme="majorBidi"/>
      <w:color w:val="2F5496" w:themeColor="accent1" w:themeShade="BF"/>
      <w:sz w:val="32"/>
      <w:szCs w:val="32"/>
    </w:rPr>
  </w:style>
  <w:style w:type="paragraph" w:styleId="Podnadpis">
    <w:name w:val="Subtitle"/>
    <w:basedOn w:val="Normln"/>
    <w:next w:val="Normln"/>
    <w:rsid w:val="00613D5F"/>
    <w:pPr>
      <w:keepNext/>
      <w:keepLines/>
      <w:spacing w:before="360" w:after="80"/>
    </w:pPr>
    <w:rPr>
      <w:rFonts w:ascii="Georgia" w:eastAsia="Georgia" w:hAnsi="Georgia" w:cs="Georgia"/>
      <w:i/>
      <w:color w:val="666666"/>
      <w:sz w:val="48"/>
      <w:szCs w:val="48"/>
    </w:rPr>
  </w:style>
  <w:style w:type="table" w:customStyle="1" w:styleId="a">
    <w:basedOn w:val="Normlntabulka"/>
    <w:rsid w:val="00613D5F"/>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ldwU+AV2qu1vV50gJBOxF2pikw==">CgMxLjA4AHIhMXE0WXpZREJtVGxuWl8yaThDSkpTeldCYVNiRllWWGdF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1802</Words>
  <Characters>10634</Characters>
  <Application>Microsoft Office Word</Application>
  <DocSecurity>0</DocSecurity>
  <Lines>88</Lines>
  <Paragraphs>24</Paragraphs>
  <ScaleCrop>false</ScaleCrop>
  <Company>HP Inc.</Company>
  <LinksUpToDate>false</LinksUpToDate>
  <CharactersWithSpaces>12412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Unicom Praha</dc:creator>
  <cp:lastModifiedBy>Veronika Slováčková</cp:lastModifiedBy>
  <cp:revision>14</cp:revision>
  <dcterms:created xsi:type="dcterms:W3CDTF">2024-03-01T09:43:00Z</dcterms:created>
  <dcterms:modified xsi:type="dcterms:W3CDTF">2025-10-17T11:39:00Z</dcterms:modified>
</cp:coreProperties>
</file>